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keepLines/>
        <w:pageBreakBefore w:val="0"/>
        <w:widowControl w:val="0"/>
        <w:numPr>
          <w:ilvl w:val="1"/>
          <w:numId w:val="0"/>
        </w:numPr>
        <w:kinsoku/>
        <w:wordWrap/>
        <w:overflowPunct/>
        <w:topLinePunct w:val="0"/>
        <w:autoSpaceDE/>
        <w:autoSpaceDN/>
        <w:bidi w:val="0"/>
        <w:adjustRightInd/>
        <w:snapToGrid/>
        <w:spacing w:before="0" w:after="0" w:line="413" w:lineRule="auto"/>
        <w:ind w:leftChars="0"/>
        <w:jc w:val="center"/>
        <w:textAlignment w:val="auto"/>
        <w:rPr>
          <w:rFonts w:hint="default"/>
          <w:sz w:val="32"/>
          <w:szCs w:val="32"/>
          <w:lang w:val="en-US" w:eastAsia="zh-CN"/>
        </w:rPr>
      </w:pPr>
      <w:bookmarkStart w:id="3" w:name="_GoBack"/>
      <w:bookmarkEnd w:id="3"/>
      <w:bookmarkStart w:id="0" w:name="_Toc28651"/>
      <w:r>
        <w:rPr>
          <w:rFonts w:hint="eastAsia"/>
          <w:sz w:val="32"/>
          <w:szCs w:val="32"/>
          <w:lang w:val="en-US" w:eastAsia="zh-CN"/>
        </w:rPr>
        <w:t>附件：铜仁幼儿师范高等专科学校网络安全服务采购项目清单</w:t>
      </w:r>
    </w:p>
    <w:p>
      <w:pPr>
        <w:pStyle w:val="3"/>
        <w:keepNext/>
        <w:keepLines/>
        <w:pageBreakBefore w:val="0"/>
        <w:widowControl w:val="0"/>
        <w:numPr>
          <w:ilvl w:val="1"/>
          <w:numId w:val="0"/>
        </w:numPr>
        <w:kinsoku/>
        <w:wordWrap/>
        <w:overflowPunct/>
        <w:topLinePunct w:val="0"/>
        <w:autoSpaceDE/>
        <w:autoSpaceDN/>
        <w:bidi w:val="0"/>
        <w:adjustRightInd/>
        <w:snapToGrid/>
        <w:spacing w:before="0" w:after="0" w:line="413" w:lineRule="auto"/>
        <w:ind w:leftChars="0"/>
        <w:textAlignment w:val="auto"/>
        <w:rPr>
          <w:rFonts w:hint="default"/>
          <w:lang w:val="en-US" w:eastAsia="zh-CN"/>
        </w:rPr>
      </w:pPr>
      <w:r>
        <w:rPr>
          <w:rFonts w:hint="eastAsia"/>
          <w:lang w:val="en-US" w:eastAsia="zh-CN"/>
        </w:rPr>
        <w:t>一、等保测评服务清单</w:t>
      </w:r>
      <w:bookmarkEnd w:id="0"/>
    </w:p>
    <w:tbl>
      <w:tblPr>
        <w:tblStyle w:val="13"/>
        <w:tblpPr w:leftFromText="180" w:rightFromText="180" w:vertAnchor="text" w:horzAnchor="page" w:tblpXSpec="center" w:tblpY="208"/>
        <w:tblOverlap w:val="never"/>
        <w:tblW w:w="485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2"/>
        <w:gridCol w:w="906"/>
        <w:gridCol w:w="844"/>
        <w:gridCol w:w="6420"/>
        <w:gridCol w:w="10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228" w:type="pct"/>
            <w:vAlign w:val="center"/>
          </w:tcPr>
          <w:p>
            <w:pPr>
              <w:pStyle w:val="6"/>
              <w:keepNext w:val="0"/>
              <w:keepLines w:val="0"/>
              <w:pageBreakBefore w:val="0"/>
              <w:widowControl w:val="0"/>
              <w:kinsoku/>
              <w:wordWrap/>
              <w:overflowPunct/>
              <w:topLinePunct w:val="0"/>
              <w:autoSpaceDE/>
              <w:autoSpaceDN/>
              <w:bidi w:val="0"/>
              <w:adjustRightInd/>
              <w:snapToGrid/>
              <w:spacing w:before="158" w:line="312" w:lineRule="auto"/>
              <w:ind w:left="0" w:leftChars="0" w:right="0" w:rightChars="0" w:firstLine="0" w:firstLineChars="0"/>
              <w:jc w:val="center"/>
              <w:textAlignment w:val="auto"/>
              <w:rPr>
                <w:rFonts w:hint="eastAsia" w:ascii="仿宋_GB2312" w:hAnsi="仿宋_GB2312" w:eastAsia="仿宋_GB2312" w:cs="仿宋_GB2312"/>
                <w:b/>
                <w:bCs/>
                <w:kern w:val="2"/>
                <w:sz w:val="24"/>
                <w:szCs w:val="24"/>
                <w:vertAlign w:val="baseline"/>
                <w:lang w:val="en-US" w:eastAsia="zh-CN" w:bidi="en-US"/>
              </w:rPr>
            </w:pPr>
            <w:r>
              <w:rPr>
                <w:rFonts w:hint="eastAsia" w:ascii="仿宋_GB2312" w:hAnsi="仿宋_GB2312" w:eastAsia="仿宋_GB2312" w:cs="仿宋_GB2312"/>
                <w:b/>
                <w:bCs/>
                <w:sz w:val="21"/>
                <w:szCs w:val="24"/>
                <w:vertAlign w:val="baseline"/>
                <w:lang w:val="en-US" w:eastAsia="zh-CN"/>
              </w:rPr>
              <w:t>序号</w:t>
            </w:r>
          </w:p>
        </w:tc>
        <w:tc>
          <w:tcPr>
            <w:tcW w:w="468" w:type="pct"/>
            <w:vAlign w:val="center"/>
          </w:tcPr>
          <w:p>
            <w:pPr>
              <w:pStyle w:val="6"/>
              <w:keepNext w:val="0"/>
              <w:keepLines w:val="0"/>
              <w:pageBreakBefore w:val="0"/>
              <w:widowControl w:val="0"/>
              <w:kinsoku/>
              <w:wordWrap/>
              <w:overflowPunct/>
              <w:topLinePunct w:val="0"/>
              <w:autoSpaceDE/>
              <w:autoSpaceDN/>
              <w:bidi w:val="0"/>
              <w:adjustRightInd/>
              <w:snapToGrid/>
              <w:spacing w:before="158" w:line="312" w:lineRule="auto"/>
              <w:ind w:right="0" w:rightChars="0"/>
              <w:jc w:val="center"/>
              <w:textAlignment w:val="auto"/>
              <w:rPr>
                <w:rFonts w:hint="default" w:ascii="仿宋_GB2312" w:hAnsi="仿宋_GB2312" w:eastAsia="仿宋_GB2312" w:cs="仿宋_GB2312"/>
                <w:b/>
                <w:bCs/>
                <w:sz w:val="21"/>
                <w:szCs w:val="24"/>
                <w:vertAlign w:val="baseline"/>
                <w:lang w:val="en-US" w:eastAsia="zh-CN"/>
              </w:rPr>
            </w:pPr>
            <w:r>
              <w:rPr>
                <w:rFonts w:hint="eastAsia" w:ascii="仿宋_GB2312" w:hAnsi="仿宋_GB2312" w:eastAsia="仿宋_GB2312" w:cs="仿宋_GB2312"/>
                <w:b/>
                <w:bCs/>
                <w:sz w:val="21"/>
                <w:szCs w:val="24"/>
                <w:vertAlign w:val="baseline"/>
                <w:lang w:val="en-US" w:eastAsia="zh-CN"/>
              </w:rPr>
              <w:t>服务项目</w:t>
            </w:r>
          </w:p>
        </w:tc>
        <w:tc>
          <w:tcPr>
            <w:tcW w:w="436" w:type="pct"/>
            <w:vAlign w:val="center"/>
          </w:tcPr>
          <w:p>
            <w:pPr>
              <w:pStyle w:val="6"/>
              <w:keepNext w:val="0"/>
              <w:keepLines w:val="0"/>
              <w:pageBreakBefore w:val="0"/>
              <w:widowControl w:val="0"/>
              <w:kinsoku/>
              <w:wordWrap/>
              <w:overflowPunct/>
              <w:topLinePunct w:val="0"/>
              <w:autoSpaceDE/>
              <w:autoSpaceDN/>
              <w:bidi w:val="0"/>
              <w:adjustRightInd/>
              <w:snapToGrid/>
              <w:spacing w:before="158" w:line="312" w:lineRule="auto"/>
              <w:ind w:right="0" w:rightChars="0"/>
              <w:jc w:val="center"/>
              <w:textAlignment w:val="auto"/>
              <w:rPr>
                <w:rFonts w:hint="default" w:ascii="仿宋_GB2312" w:hAnsi="仿宋_GB2312" w:eastAsia="仿宋_GB2312" w:cs="仿宋_GB2312"/>
                <w:b/>
                <w:bCs/>
                <w:sz w:val="21"/>
                <w:szCs w:val="24"/>
                <w:vertAlign w:val="baseline"/>
                <w:lang w:val="en-US" w:eastAsia="zh-CN"/>
              </w:rPr>
            </w:pPr>
            <w:r>
              <w:rPr>
                <w:rFonts w:hint="eastAsia" w:ascii="仿宋_GB2312" w:hAnsi="仿宋_GB2312" w:eastAsia="仿宋_GB2312" w:cs="仿宋_GB2312"/>
                <w:b/>
                <w:bCs/>
                <w:sz w:val="21"/>
                <w:szCs w:val="24"/>
                <w:vertAlign w:val="baseline"/>
                <w:lang w:val="en-US" w:eastAsia="zh-CN"/>
              </w:rPr>
              <w:t>服务内容</w:t>
            </w:r>
          </w:p>
        </w:tc>
        <w:tc>
          <w:tcPr>
            <w:tcW w:w="3315" w:type="pct"/>
            <w:vAlign w:val="center"/>
          </w:tcPr>
          <w:p>
            <w:pPr>
              <w:pStyle w:val="6"/>
              <w:keepNext w:val="0"/>
              <w:keepLines w:val="0"/>
              <w:pageBreakBefore w:val="0"/>
              <w:widowControl w:val="0"/>
              <w:kinsoku/>
              <w:wordWrap/>
              <w:overflowPunct/>
              <w:topLinePunct w:val="0"/>
              <w:autoSpaceDE/>
              <w:autoSpaceDN/>
              <w:bidi w:val="0"/>
              <w:adjustRightInd/>
              <w:snapToGrid/>
              <w:spacing w:before="158" w:line="312" w:lineRule="auto"/>
              <w:ind w:right="0" w:rightChars="0"/>
              <w:jc w:val="center"/>
              <w:textAlignment w:val="auto"/>
              <w:rPr>
                <w:rFonts w:hint="eastAsia" w:ascii="仿宋_GB2312" w:hAnsi="仿宋_GB2312" w:eastAsia="仿宋_GB2312" w:cs="仿宋_GB2312"/>
                <w:b/>
                <w:bCs/>
                <w:sz w:val="21"/>
                <w:szCs w:val="24"/>
                <w:vertAlign w:val="baseline"/>
                <w:lang w:val="en-US" w:eastAsia="zh-CN"/>
              </w:rPr>
            </w:pPr>
            <w:r>
              <w:rPr>
                <w:rFonts w:hint="eastAsia" w:ascii="仿宋_GB2312" w:hAnsi="仿宋_GB2312" w:eastAsia="仿宋_GB2312" w:cs="仿宋_GB2312"/>
                <w:b/>
                <w:bCs/>
                <w:sz w:val="21"/>
                <w:szCs w:val="24"/>
                <w:vertAlign w:val="baseline"/>
                <w:lang w:val="en-US" w:eastAsia="zh-CN"/>
              </w:rPr>
              <w:t>服务要求</w:t>
            </w:r>
          </w:p>
        </w:tc>
        <w:tc>
          <w:tcPr>
            <w:tcW w:w="550" w:type="pct"/>
            <w:vAlign w:val="center"/>
          </w:tcPr>
          <w:p>
            <w:pPr>
              <w:pStyle w:val="6"/>
              <w:keepNext w:val="0"/>
              <w:keepLines w:val="0"/>
              <w:pageBreakBefore w:val="0"/>
              <w:widowControl w:val="0"/>
              <w:kinsoku/>
              <w:wordWrap/>
              <w:overflowPunct/>
              <w:topLinePunct w:val="0"/>
              <w:autoSpaceDE/>
              <w:autoSpaceDN/>
              <w:bidi w:val="0"/>
              <w:adjustRightInd/>
              <w:snapToGrid/>
              <w:spacing w:before="158" w:line="312" w:lineRule="auto"/>
              <w:ind w:right="0" w:rightChars="0"/>
              <w:jc w:val="center"/>
              <w:textAlignment w:val="auto"/>
              <w:rPr>
                <w:rFonts w:hint="default" w:ascii="仿宋_GB2312" w:hAnsi="仿宋_GB2312" w:eastAsia="仿宋_GB2312" w:cs="仿宋_GB2312"/>
                <w:b/>
                <w:bCs/>
                <w:sz w:val="21"/>
                <w:szCs w:val="24"/>
                <w:vertAlign w:val="baseline"/>
                <w:lang w:val="en-US" w:eastAsia="zh-CN"/>
              </w:rPr>
            </w:pPr>
            <w:r>
              <w:rPr>
                <w:rFonts w:hint="eastAsia" w:ascii="仿宋_GB2312" w:hAnsi="仿宋_GB2312" w:eastAsia="仿宋_GB2312" w:cs="仿宋_GB2312"/>
                <w:b/>
                <w:bCs/>
                <w:sz w:val="21"/>
                <w:szCs w:val="24"/>
                <w:vertAlign w:val="baseline"/>
                <w:lang w:val="en-US"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3" w:hRule="atLeast"/>
          <w:jc w:val="center"/>
        </w:trPr>
        <w:tc>
          <w:tcPr>
            <w:tcW w:w="228" w:type="pct"/>
            <w:vMerge w:val="restart"/>
            <w:vAlign w:val="center"/>
          </w:tcPr>
          <w:p>
            <w:pPr>
              <w:pStyle w:val="6"/>
              <w:keepNext w:val="0"/>
              <w:keepLines w:val="0"/>
              <w:pageBreakBefore w:val="0"/>
              <w:widowControl w:val="0"/>
              <w:numPr>
                <w:ilvl w:val="0"/>
                <w:numId w:val="2"/>
              </w:numPr>
              <w:kinsoku/>
              <w:wordWrap/>
              <w:overflowPunct/>
              <w:topLinePunct w:val="0"/>
              <w:autoSpaceDE/>
              <w:autoSpaceDN/>
              <w:bidi w:val="0"/>
              <w:adjustRightInd/>
              <w:snapToGrid/>
              <w:spacing w:before="158" w:line="312" w:lineRule="auto"/>
              <w:ind w:left="-420" w:leftChars="0" w:right="0" w:firstLine="420" w:firstLineChars="0"/>
              <w:jc w:val="center"/>
              <w:textAlignment w:val="auto"/>
              <w:rPr>
                <w:rFonts w:hint="eastAsia" w:ascii="仿宋_GB2312" w:hAnsi="仿宋_GB2312" w:eastAsia="仿宋_GB2312" w:cs="仿宋_GB2312"/>
                <w:sz w:val="21"/>
                <w:szCs w:val="24"/>
                <w:vertAlign w:val="baseline"/>
                <w:lang w:val="en-US" w:eastAsia="zh-CN"/>
              </w:rPr>
            </w:pPr>
          </w:p>
        </w:tc>
        <w:tc>
          <w:tcPr>
            <w:tcW w:w="468" w:type="pct"/>
            <w:vMerge w:val="restart"/>
            <w:vAlign w:val="center"/>
          </w:tcPr>
          <w:p>
            <w:pPr>
              <w:pStyle w:val="6"/>
              <w:keepNext w:val="0"/>
              <w:keepLines w:val="0"/>
              <w:pageBreakBefore w:val="0"/>
              <w:widowControl w:val="0"/>
              <w:kinsoku/>
              <w:wordWrap/>
              <w:overflowPunct/>
              <w:topLinePunct w:val="0"/>
              <w:autoSpaceDE/>
              <w:autoSpaceDN/>
              <w:bidi w:val="0"/>
              <w:adjustRightInd/>
              <w:snapToGrid/>
              <w:spacing w:before="158" w:line="312" w:lineRule="auto"/>
              <w:ind w:left="0" w:leftChars="0" w:right="0" w:firstLine="0" w:firstLineChars="0"/>
              <w:jc w:val="center"/>
              <w:textAlignment w:val="auto"/>
              <w:rPr>
                <w:rFonts w:hint="eastAsia" w:ascii="仿宋_GB2312" w:hAnsi="仿宋_GB2312" w:eastAsia="仿宋_GB2312" w:cs="仿宋_GB2312"/>
                <w:sz w:val="21"/>
                <w:szCs w:val="24"/>
                <w:lang w:val="en-US" w:eastAsia="zh-CN"/>
              </w:rPr>
            </w:pPr>
            <w:r>
              <w:rPr>
                <w:rFonts w:hint="eastAsia" w:ascii="仿宋_GB2312" w:hAnsi="仿宋_GB2312" w:eastAsia="仿宋_GB2312" w:cs="仿宋_GB2312"/>
                <w:sz w:val="21"/>
                <w:szCs w:val="24"/>
              </w:rPr>
              <w:t>二级测评</w:t>
            </w:r>
          </w:p>
        </w:tc>
        <w:tc>
          <w:tcPr>
            <w:tcW w:w="436" w:type="pct"/>
            <w:vAlign w:val="center"/>
          </w:tcPr>
          <w:p>
            <w:pPr>
              <w:pageBreakBefore w:val="0"/>
              <w:kinsoku/>
              <w:wordWrap/>
              <w:overflowPunct/>
              <w:topLinePunct w:val="0"/>
              <w:autoSpaceDE/>
              <w:autoSpaceDN/>
              <w:bidi w:val="0"/>
              <w:adjustRightInd/>
              <w:snapToGrid/>
              <w:spacing w:line="312" w:lineRule="auto"/>
              <w:jc w:val="center"/>
              <w:textAlignment w:val="center"/>
              <w:rPr>
                <w:rFonts w:hint="eastAsia" w:ascii="仿宋_GB2312" w:hAnsi="仿宋_GB2312" w:eastAsia="仿宋_GB2312" w:cs="仿宋_GB2312"/>
                <w:color w:val="FF0000"/>
                <w:sz w:val="21"/>
                <w:szCs w:val="24"/>
                <w:vertAlign w:val="baseline"/>
                <w:lang w:val="en-US" w:eastAsia="zh-CN"/>
              </w:rPr>
            </w:pPr>
            <w:r>
              <w:rPr>
                <w:rFonts w:hint="eastAsia" w:ascii="仿宋_GB2312" w:hAnsi="仿宋_GB2312" w:eastAsia="仿宋_GB2312" w:cs="仿宋_GB2312"/>
                <w:sz w:val="21"/>
                <w:szCs w:val="24"/>
              </w:rPr>
              <w:t>教务系统</w:t>
            </w:r>
          </w:p>
        </w:tc>
        <w:tc>
          <w:tcPr>
            <w:tcW w:w="3315" w:type="pct"/>
            <w:vMerge w:val="restart"/>
            <w:vAlign w:val="top"/>
          </w:tcPr>
          <w:p>
            <w:pPr>
              <w:keepNext w:val="0"/>
              <w:keepLines w:val="0"/>
              <w:pageBreakBefore w:val="0"/>
              <w:widowControl w:val="0"/>
              <w:kinsoku/>
              <w:wordWrap/>
              <w:overflowPunct/>
              <w:topLinePunct w:val="0"/>
              <w:autoSpaceDE/>
              <w:autoSpaceDN/>
              <w:bidi w:val="0"/>
              <w:adjustRightInd/>
              <w:snapToGrid/>
              <w:spacing w:beforeAutospacing="0" w:afterAutospacing="0" w:line="312" w:lineRule="auto"/>
              <w:jc w:val="both"/>
              <w:textAlignment w:val="auto"/>
              <w:rPr>
                <w:rFonts w:hint="eastAsia" w:ascii="仿宋_GB2312" w:hAnsi="仿宋_GB2312" w:eastAsia="仿宋_GB2312" w:cs="仿宋_GB2312"/>
                <w:color w:val="auto"/>
                <w:kern w:val="0"/>
                <w:sz w:val="21"/>
                <w:szCs w:val="21"/>
                <w:highlight w:val="none"/>
                <w:lang w:eastAsia="zh-CN" w:bidi="ar"/>
              </w:rPr>
            </w:pPr>
            <w:r>
              <w:rPr>
                <w:rFonts w:hint="eastAsia" w:ascii="仿宋_GB2312" w:hAnsi="仿宋_GB2312" w:eastAsia="仿宋_GB2312" w:cs="仿宋_GB2312"/>
                <w:color w:val="auto"/>
                <w:kern w:val="0"/>
                <w:sz w:val="21"/>
                <w:szCs w:val="21"/>
                <w:highlight w:val="none"/>
                <w:lang w:bidi="ar"/>
              </w:rPr>
              <w:t>1、</w:t>
            </w:r>
            <w:r>
              <w:rPr>
                <w:rFonts w:hint="eastAsia" w:ascii="仿宋_GB2312" w:hAnsi="仿宋_GB2312" w:eastAsia="仿宋_GB2312" w:cs="仿宋_GB2312"/>
                <w:sz w:val="21"/>
                <w:szCs w:val="21"/>
                <w:lang w:val="en-US" w:eastAsia="zh-CN"/>
              </w:rPr>
              <w:t>安全测评服务人员和要求：开展等保测评工作，需明确一名具有信息安全等级测评师中级资格证书或以上的人员作为整个项目实施的项目经理，负责整个项目的协调、沟通、时间安排、进度督促、测评安排等工作。明确参与该项目现场测评并提供服务的人员具备安全等级测评师初级及以上资格，并按规定签订安全保密相关的协议或责任书，</w:t>
            </w:r>
            <w:r>
              <w:rPr>
                <w:rFonts w:hint="eastAsia" w:ascii="仿宋_GB2312" w:hAnsi="仿宋_GB2312" w:eastAsia="仿宋_GB2312" w:cs="仿宋_GB2312"/>
                <w:color w:val="auto"/>
                <w:kern w:val="0"/>
                <w:sz w:val="21"/>
                <w:szCs w:val="21"/>
                <w:highlight w:val="none"/>
                <w:lang w:bidi="ar"/>
              </w:rPr>
              <w:t>协助</w:t>
            </w:r>
            <w:r>
              <w:rPr>
                <w:rFonts w:hint="eastAsia" w:ascii="仿宋_GB2312" w:hAnsi="仿宋_GB2312" w:eastAsia="仿宋_GB2312" w:cs="仿宋_GB2312"/>
                <w:color w:val="auto"/>
                <w:kern w:val="0"/>
                <w:sz w:val="21"/>
                <w:szCs w:val="21"/>
                <w:highlight w:val="none"/>
                <w:lang w:val="en-US" w:eastAsia="zh-CN" w:bidi="ar"/>
              </w:rPr>
              <w:t>学校</w:t>
            </w:r>
            <w:r>
              <w:rPr>
                <w:rFonts w:hint="eastAsia" w:ascii="仿宋_GB2312" w:hAnsi="仿宋_GB2312" w:eastAsia="仿宋_GB2312" w:cs="仿宋_GB2312"/>
                <w:color w:val="auto"/>
                <w:kern w:val="0"/>
                <w:sz w:val="21"/>
                <w:szCs w:val="21"/>
                <w:highlight w:val="none"/>
                <w:lang w:bidi="ar"/>
              </w:rPr>
              <w:t>对信息系统进行定级确认、填写备案相关资料；</w:t>
            </w:r>
          </w:p>
          <w:p>
            <w:pPr>
              <w:keepNext w:val="0"/>
              <w:keepLines w:val="0"/>
              <w:pageBreakBefore w:val="0"/>
              <w:widowControl/>
              <w:suppressLineNumbers w:val="0"/>
              <w:kinsoku/>
              <w:wordWrap/>
              <w:overflowPunct/>
              <w:topLinePunct w:val="0"/>
              <w:autoSpaceDE/>
              <w:autoSpaceDN/>
              <w:bidi w:val="0"/>
              <w:adjustRightInd/>
              <w:snapToGrid/>
              <w:spacing w:line="312" w:lineRule="auto"/>
              <w:jc w:val="both"/>
              <w:textAlignment w:val="center"/>
              <w:rPr>
                <w:rFonts w:hint="eastAsia" w:ascii="仿宋_GB2312" w:hAnsi="仿宋_GB2312" w:eastAsia="仿宋_GB2312" w:cs="仿宋_GB2312"/>
                <w:color w:val="auto"/>
                <w:kern w:val="0"/>
                <w:sz w:val="21"/>
                <w:szCs w:val="21"/>
                <w:highlight w:val="none"/>
                <w:lang w:eastAsia="zh-CN" w:bidi="ar"/>
              </w:rPr>
            </w:pPr>
            <w:r>
              <w:rPr>
                <w:rFonts w:hint="eastAsia" w:ascii="仿宋_GB2312" w:hAnsi="仿宋_GB2312" w:eastAsia="仿宋_GB2312" w:cs="仿宋_GB2312"/>
                <w:color w:val="auto"/>
                <w:kern w:val="0"/>
                <w:sz w:val="21"/>
                <w:szCs w:val="21"/>
                <w:highlight w:val="none"/>
                <w:lang w:bidi="ar"/>
              </w:rPr>
              <w:t>2、网络安全等级保护测评，按照等保2.0标准，测评范围包括物理环境、主机、网络、业务、应用系统、安全管理制度和人员等。包含初次测评和验收测评，提供整改建议书和测评报告。</w:t>
            </w:r>
          </w:p>
          <w:p>
            <w:pPr>
              <w:keepNext w:val="0"/>
              <w:keepLines w:val="0"/>
              <w:pageBreakBefore w:val="0"/>
              <w:widowControl/>
              <w:suppressLineNumbers w:val="0"/>
              <w:kinsoku/>
              <w:wordWrap/>
              <w:overflowPunct/>
              <w:topLinePunct w:val="0"/>
              <w:autoSpaceDE/>
              <w:autoSpaceDN/>
              <w:bidi w:val="0"/>
              <w:adjustRightInd/>
              <w:snapToGrid/>
              <w:spacing w:line="312" w:lineRule="auto"/>
              <w:jc w:val="both"/>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3、安全测评通过静态评估、现场测试，综合评估等相关环节和阶段，从安全物理环境、安全通信网络、安全区域边界、安全计算环境、安全管理中心、安全管理制度、安全管理机构、安全管理人员、安全建设管理、安全运维管理十个方面，对被测评对象进行综合测评。</w:t>
            </w:r>
          </w:p>
          <w:p>
            <w:pPr>
              <w:keepNext w:val="0"/>
              <w:keepLines w:val="0"/>
              <w:pageBreakBefore w:val="0"/>
              <w:widowControl/>
              <w:suppressLineNumbers w:val="0"/>
              <w:kinsoku/>
              <w:wordWrap/>
              <w:overflowPunct/>
              <w:topLinePunct w:val="0"/>
              <w:autoSpaceDE/>
              <w:autoSpaceDN/>
              <w:bidi w:val="0"/>
              <w:adjustRightInd/>
              <w:snapToGrid/>
              <w:spacing w:line="312" w:lineRule="auto"/>
              <w:jc w:val="both"/>
              <w:textAlignment w:val="center"/>
              <w:rPr>
                <w:rFonts w:hint="eastAsia" w:ascii="仿宋_GB2312" w:hAnsi="仿宋_GB2312" w:eastAsia="仿宋_GB2312" w:cs="仿宋_GB2312"/>
                <w:color w:val="auto"/>
                <w:kern w:val="0"/>
                <w:sz w:val="21"/>
                <w:szCs w:val="21"/>
                <w:highlight w:val="none"/>
                <w:lang w:eastAsia="zh-CN" w:bidi="ar"/>
              </w:rPr>
            </w:pPr>
            <w:r>
              <w:rPr>
                <w:rFonts w:hint="eastAsia" w:ascii="仿宋_GB2312" w:hAnsi="仿宋_GB2312" w:eastAsia="仿宋_GB2312" w:cs="仿宋_GB2312"/>
                <w:color w:val="auto"/>
                <w:kern w:val="0"/>
                <w:sz w:val="21"/>
                <w:szCs w:val="21"/>
                <w:highlight w:val="none"/>
                <w:lang w:val="en-US" w:eastAsia="zh-CN" w:bidi="ar"/>
              </w:rPr>
              <w:t>4</w:t>
            </w:r>
            <w:r>
              <w:rPr>
                <w:rFonts w:hint="eastAsia" w:ascii="仿宋_GB2312" w:hAnsi="仿宋_GB2312" w:eastAsia="仿宋_GB2312" w:cs="仿宋_GB2312"/>
                <w:color w:val="auto"/>
                <w:kern w:val="0"/>
                <w:sz w:val="21"/>
                <w:szCs w:val="21"/>
                <w:highlight w:val="none"/>
                <w:lang w:bidi="ar"/>
              </w:rPr>
              <w:t>、二级等保测评指标68项，</w:t>
            </w:r>
            <w:r>
              <w:rPr>
                <w:rFonts w:hint="eastAsia" w:ascii="仿宋_GB2312" w:hAnsi="仿宋_GB2312" w:eastAsia="仿宋_GB2312" w:cs="仿宋_GB2312"/>
                <w:color w:val="auto"/>
                <w:kern w:val="0"/>
                <w:sz w:val="21"/>
                <w:szCs w:val="21"/>
                <w:highlight w:val="none"/>
                <w:lang w:val="en-US" w:eastAsia="zh-CN" w:bidi="ar"/>
              </w:rPr>
              <w:t>135</w:t>
            </w:r>
            <w:r>
              <w:rPr>
                <w:rFonts w:hint="eastAsia" w:ascii="仿宋_GB2312" w:hAnsi="仿宋_GB2312" w:eastAsia="仿宋_GB2312" w:cs="仿宋_GB2312"/>
                <w:color w:val="auto"/>
                <w:kern w:val="0"/>
                <w:sz w:val="21"/>
                <w:szCs w:val="21"/>
                <w:highlight w:val="none"/>
                <w:lang w:bidi="ar"/>
              </w:rPr>
              <w:t>个测评项。（仅安全通用标准，根据系统部署方式进行测评指标选择）</w:t>
            </w:r>
          </w:p>
          <w:p>
            <w:pPr>
              <w:pageBreakBefore w:val="0"/>
              <w:kinsoku/>
              <w:wordWrap/>
              <w:overflowPunct/>
              <w:topLinePunct w:val="0"/>
              <w:autoSpaceDE/>
              <w:autoSpaceDN/>
              <w:bidi w:val="0"/>
              <w:adjustRightInd/>
              <w:snapToGrid/>
              <w:spacing w:line="312" w:lineRule="auto"/>
              <w:jc w:val="both"/>
              <w:textAlignment w:val="center"/>
              <w:rPr>
                <w:rFonts w:hint="eastAsia" w:ascii="仿宋_GB2312" w:hAnsi="仿宋_GB2312" w:eastAsia="仿宋_GB2312" w:cs="仿宋_GB2312"/>
                <w:sz w:val="21"/>
                <w:szCs w:val="24"/>
              </w:rPr>
            </w:pPr>
            <w:r>
              <w:rPr>
                <w:rFonts w:hint="eastAsia" w:ascii="仿宋_GB2312" w:hAnsi="仿宋_GB2312" w:eastAsia="仿宋_GB2312" w:cs="仿宋_GB2312"/>
                <w:color w:val="auto"/>
                <w:kern w:val="0"/>
                <w:sz w:val="21"/>
                <w:szCs w:val="21"/>
                <w:highlight w:val="none"/>
                <w:lang w:val="en-US" w:eastAsia="zh-CN" w:bidi="ar"/>
              </w:rPr>
              <w:t>5</w:t>
            </w:r>
            <w:r>
              <w:rPr>
                <w:rFonts w:hint="eastAsia" w:ascii="仿宋_GB2312" w:hAnsi="仿宋_GB2312" w:eastAsia="仿宋_GB2312" w:cs="仿宋_GB2312"/>
                <w:color w:val="auto"/>
                <w:kern w:val="0"/>
                <w:sz w:val="21"/>
                <w:szCs w:val="21"/>
                <w:highlight w:val="none"/>
                <w:lang w:bidi="ar"/>
              </w:rPr>
              <w:t>、提交资料：定级备案相关资料、问题清单、测评报告</w:t>
            </w:r>
          </w:p>
        </w:tc>
        <w:tc>
          <w:tcPr>
            <w:tcW w:w="550" w:type="pct"/>
            <w:vMerge w:val="restart"/>
            <w:vAlign w:val="top"/>
          </w:tcPr>
          <w:p>
            <w:pPr>
              <w:pageBreakBefore w:val="0"/>
              <w:kinsoku/>
              <w:wordWrap/>
              <w:overflowPunct/>
              <w:topLinePunct w:val="0"/>
              <w:autoSpaceDE/>
              <w:autoSpaceDN/>
              <w:bidi w:val="0"/>
              <w:adjustRightInd/>
              <w:snapToGrid/>
              <w:spacing w:line="312" w:lineRule="auto"/>
              <w:jc w:val="both"/>
              <w:textAlignment w:val="center"/>
              <w:rPr>
                <w:rFonts w:hint="eastAsia" w:ascii="仿宋_GB2312" w:hAnsi="仿宋_GB2312" w:eastAsia="仿宋_GB2312" w:cs="仿宋_GB2312"/>
                <w:color w:val="auto"/>
                <w:kern w:val="0"/>
                <w:sz w:val="21"/>
                <w:szCs w:val="21"/>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9" w:hRule="atLeast"/>
          <w:jc w:val="center"/>
        </w:trPr>
        <w:tc>
          <w:tcPr>
            <w:tcW w:w="228" w:type="pct"/>
            <w:vMerge w:val="continue"/>
            <w:vAlign w:val="center"/>
          </w:tcPr>
          <w:p>
            <w:pPr>
              <w:pageBreakBefore w:val="0"/>
              <w:kinsoku/>
              <w:wordWrap/>
              <w:overflowPunct/>
              <w:topLinePunct w:val="0"/>
              <w:autoSpaceDE/>
              <w:autoSpaceDN/>
              <w:bidi w:val="0"/>
              <w:adjustRightInd/>
              <w:snapToGrid/>
              <w:spacing w:line="312" w:lineRule="auto"/>
              <w:ind w:left="-420" w:leftChars="0" w:firstLine="420" w:firstLineChars="0"/>
              <w:jc w:val="center"/>
              <w:rPr>
                <w:rFonts w:hint="eastAsia" w:ascii="仿宋_GB2312" w:hAnsi="仿宋_GB2312" w:eastAsia="仿宋_GB2312" w:cs="仿宋_GB2312"/>
                <w:sz w:val="21"/>
                <w:szCs w:val="24"/>
                <w:lang w:val="en-US" w:eastAsia="zh-CN"/>
              </w:rPr>
            </w:pPr>
          </w:p>
        </w:tc>
        <w:tc>
          <w:tcPr>
            <w:tcW w:w="468" w:type="pct"/>
            <w:vMerge w:val="continue"/>
            <w:vAlign w:val="center"/>
          </w:tcPr>
          <w:p>
            <w:pPr>
              <w:pStyle w:val="6"/>
              <w:keepNext w:val="0"/>
              <w:keepLines w:val="0"/>
              <w:pageBreakBefore w:val="0"/>
              <w:widowControl w:val="0"/>
              <w:kinsoku/>
              <w:wordWrap/>
              <w:overflowPunct/>
              <w:topLinePunct w:val="0"/>
              <w:autoSpaceDE/>
              <w:autoSpaceDN/>
              <w:bidi w:val="0"/>
              <w:adjustRightInd/>
              <w:snapToGrid/>
              <w:spacing w:before="158" w:line="312" w:lineRule="auto"/>
              <w:ind w:left="0" w:leftChars="0" w:right="0" w:firstLine="0" w:firstLineChars="0"/>
              <w:jc w:val="center"/>
              <w:textAlignment w:val="auto"/>
              <w:rPr>
                <w:rFonts w:hint="eastAsia" w:ascii="仿宋_GB2312" w:hAnsi="仿宋_GB2312" w:eastAsia="仿宋_GB2312" w:cs="仿宋_GB2312"/>
                <w:sz w:val="21"/>
                <w:szCs w:val="24"/>
                <w:vertAlign w:val="baseline"/>
              </w:rPr>
            </w:pPr>
          </w:p>
        </w:tc>
        <w:tc>
          <w:tcPr>
            <w:tcW w:w="436" w:type="pct"/>
            <w:vAlign w:val="center"/>
          </w:tcPr>
          <w:p>
            <w:pPr>
              <w:pageBreakBefore w:val="0"/>
              <w:kinsoku/>
              <w:wordWrap/>
              <w:overflowPunct/>
              <w:topLinePunct w:val="0"/>
              <w:autoSpaceDE/>
              <w:autoSpaceDN/>
              <w:bidi w:val="0"/>
              <w:adjustRightInd/>
              <w:snapToGrid/>
              <w:spacing w:line="312" w:lineRule="auto"/>
              <w:jc w:val="center"/>
              <w:textAlignment w:val="center"/>
              <w:rPr>
                <w:rFonts w:hint="eastAsia" w:ascii="仿宋_GB2312" w:hAnsi="仿宋_GB2312" w:eastAsia="仿宋_GB2312" w:cs="仿宋_GB2312"/>
                <w:color w:val="FF0000"/>
                <w:sz w:val="21"/>
                <w:szCs w:val="24"/>
                <w:vertAlign w:val="baseline"/>
              </w:rPr>
            </w:pPr>
            <w:r>
              <w:rPr>
                <w:rFonts w:hint="eastAsia" w:ascii="仿宋_GB2312" w:hAnsi="仿宋_GB2312" w:eastAsia="仿宋_GB2312" w:cs="仿宋_GB2312"/>
                <w:sz w:val="21"/>
                <w:szCs w:val="24"/>
              </w:rPr>
              <w:t>学工系统</w:t>
            </w:r>
          </w:p>
        </w:tc>
        <w:tc>
          <w:tcPr>
            <w:tcW w:w="3315" w:type="pct"/>
            <w:vMerge w:val="continue"/>
            <w:vAlign w:val="center"/>
          </w:tcPr>
          <w:p>
            <w:pPr>
              <w:pageBreakBefore w:val="0"/>
              <w:kinsoku/>
              <w:wordWrap/>
              <w:overflowPunct/>
              <w:topLinePunct w:val="0"/>
              <w:autoSpaceDE/>
              <w:autoSpaceDN/>
              <w:bidi w:val="0"/>
              <w:adjustRightInd/>
              <w:snapToGrid/>
              <w:spacing w:line="312" w:lineRule="auto"/>
              <w:jc w:val="center"/>
              <w:textAlignment w:val="center"/>
              <w:rPr>
                <w:rFonts w:hint="eastAsia" w:ascii="仿宋_GB2312" w:hAnsi="仿宋_GB2312" w:eastAsia="仿宋_GB2312" w:cs="仿宋_GB2312"/>
                <w:sz w:val="21"/>
                <w:szCs w:val="24"/>
              </w:rPr>
            </w:pPr>
          </w:p>
        </w:tc>
        <w:tc>
          <w:tcPr>
            <w:tcW w:w="550" w:type="pct"/>
            <w:vMerge w:val="continue"/>
            <w:vAlign w:val="center"/>
          </w:tcPr>
          <w:p>
            <w:pPr>
              <w:pageBreakBefore w:val="0"/>
              <w:kinsoku/>
              <w:wordWrap/>
              <w:overflowPunct/>
              <w:topLinePunct w:val="0"/>
              <w:autoSpaceDE/>
              <w:autoSpaceDN/>
              <w:bidi w:val="0"/>
              <w:adjustRightInd/>
              <w:snapToGrid/>
              <w:spacing w:line="312" w:lineRule="auto"/>
              <w:jc w:val="center"/>
              <w:textAlignment w:val="center"/>
              <w:rPr>
                <w:rFonts w:hint="eastAsia" w:ascii="仿宋_GB2312" w:hAnsi="仿宋_GB2312" w:eastAsia="仿宋_GB2312" w:cs="仿宋_GB2312"/>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228" w:type="pct"/>
            <w:vMerge w:val="continue"/>
            <w:vAlign w:val="center"/>
          </w:tcPr>
          <w:p>
            <w:pPr>
              <w:pageBreakBefore w:val="0"/>
              <w:kinsoku/>
              <w:wordWrap/>
              <w:overflowPunct/>
              <w:topLinePunct w:val="0"/>
              <w:autoSpaceDE/>
              <w:autoSpaceDN/>
              <w:bidi w:val="0"/>
              <w:adjustRightInd/>
              <w:snapToGrid/>
              <w:spacing w:line="312" w:lineRule="auto"/>
              <w:ind w:left="-420" w:leftChars="0" w:firstLine="420" w:firstLineChars="0"/>
              <w:jc w:val="center"/>
              <w:rPr>
                <w:rFonts w:hint="eastAsia" w:ascii="仿宋_GB2312" w:hAnsi="仿宋_GB2312" w:eastAsia="仿宋_GB2312" w:cs="仿宋_GB2312"/>
                <w:sz w:val="21"/>
                <w:szCs w:val="24"/>
                <w:lang w:val="en-US" w:eastAsia="zh-CN"/>
              </w:rPr>
            </w:pPr>
          </w:p>
        </w:tc>
        <w:tc>
          <w:tcPr>
            <w:tcW w:w="468" w:type="pct"/>
            <w:vMerge w:val="continue"/>
            <w:vAlign w:val="center"/>
          </w:tcPr>
          <w:p>
            <w:pPr>
              <w:keepNext w:val="0"/>
              <w:keepLines w:val="0"/>
              <w:pageBreakBefore w:val="0"/>
              <w:widowControl w:val="0"/>
              <w:kinsoku/>
              <w:wordWrap/>
              <w:overflowPunct/>
              <w:topLinePunct w:val="0"/>
              <w:autoSpaceDE/>
              <w:autoSpaceDN/>
              <w:bidi w:val="0"/>
              <w:adjustRightInd/>
              <w:snapToGrid/>
              <w:spacing w:before="158" w:line="312" w:lineRule="auto"/>
              <w:ind w:right="0" w:rightChars="0"/>
              <w:jc w:val="center"/>
              <w:textAlignment w:val="auto"/>
              <w:rPr>
                <w:rFonts w:hint="eastAsia" w:ascii="仿宋_GB2312" w:hAnsi="仿宋_GB2312" w:eastAsia="仿宋_GB2312" w:cs="仿宋_GB2312"/>
                <w:sz w:val="21"/>
                <w:szCs w:val="24"/>
                <w:lang w:val="en-US" w:eastAsia="zh-CN"/>
              </w:rPr>
            </w:pPr>
          </w:p>
        </w:tc>
        <w:tc>
          <w:tcPr>
            <w:tcW w:w="436" w:type="pct"/>
            <w:vAlign w:val="center"/>
          </w:tcPr>
          <w:p>
            <w:pPr>
              <w:pageBreakBefore w:val="0"/>
              <w:kinsoku/>
              <w:wordWrap/>
              <w:overflowPunct/>
              <w:topLinePunct w:val="0"/>
              <w:autoSpaceDE/>
              <w:autoSpaceDN/>
              <w:bidi w:val="0"/>
              <w:adjustRightInd/>
              <w:snapToGrid/>
              <w:spacing w:line="312" w:lineRule="auto"/>
              <w:jc w:val="center"/>
              <w:rPr>
                <w:rFonts w:hint="eastAsia" w:ascii="仿宋_GB2312" w:hAnsi="仿宋_GB2312" w:eastAsia="仿宋_GB2312" w:cs="仿宋_GB2312"/>
                <w:sz w:val="21"/>
                <w:szCs w:val="24"/>
                <w:lang w:val="en-US" w:eastAsia="zh-CN"/>
              </w:rPr>
            </w:pPr>
            <w:r>
              <w:rPr>
                <w:rFonts w:hint="eastAsia" w:ascii="仿宋_GB2312" w:hAnsi="仿宋_GB2312" w:eastAsia="仿宋_GB2312" w:cs="仿宋_GB2312"/>
                <w:color w:val="auto"/>
                <w:sz w:val="21"/>
                <w:szCs w:val="24"/>
                <w:vertAlign w:val="baseline"/>
              </w:rPr>
              <w:t>网络管理</w:t>
            </w:r>
          </w:p>
        </w:tc>
        <w:tc>
          <w:tcPr>
            <w:tcW w:w="3315" w:type="pct"/>
            <w:vMerge w:val="continue"/>
            <w:vAlign w:val="center"/>
          </w:tcPr>
          <w:p>
            <w:pPr>
              <w:pageBreakBefore w:val="0"/>
              <w:kinsoku/>
              <w:wordWrap/>
              <w:overflowPunct/>
              <w:topLinePunct w:val="0"/>
              <w:autoSpaceDE/>
              <w:autoSpaceDN/>
              <w:bidi w:val="0"/>
              <w:adjustRightInd/>
              <w:snapToGrid/>
              <w:spacing w:line="312" w:lineRule="auto"/>
              <w:jc w:val="center"/>
              <w:textAlignment w:val="center"/>
              <w:rPr>
                <w:rFonts w:hint="eastAsia" w:ascii="仿宋_GB2312" w:hAnsi="仿宋_GB2312" w:eastAsia="仿宋_GB2312" w:cs="仿宋_GB2312"/>
                <w:sz w:val="21"/>
                <w:szCs w:val="24"/>
                <w:lang w:val="en-US" w:eastAsia="zh-CN"/>
              </w:rPr>
            </w:pPr>
          </w:p>
        </w:tc>
        <w:tc>
          <w:tcPr>
            <w:tcW w:w="550" w:type="pct"/>
            <w:vMerge w:val="continue"/>
            <w:vAlign w:val="center"/>
          </w:tcPr>
          <w:p>
            <w:pPr>
              <w:pageBreakBefore w:val="0"/>
              <w:kinsoku/>
              <w:wordWrap/>
              <w:overflowPunct/>
              <w:topLinePunct w:val="0"/>
              <w:autoSpaceDE/>
              <w:autoSpaceDN/>
              <w:bidi w:val="0"/>
              <w:adjustRightInd/>
              <w:snapToGrid/>
              <w:spacing w:line="312" w:lineRule="auto"/>
              <w:jc w:val="center"/>
              <w:textAlignment w:val="center"/>
              <w:rPr>
                <w:rFonts w:hint="eastAsia" w:ascii="仿宋_GB2312" w:hAnsi="仿宋_GB2312" w:eastAsia="仿宋_GB2312" w:cs="仿宋_GB2312"/>
                <w:sz w:val="21"/>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1" w:hRule="atLeast"/>
          <w:jc w:val="center"/>
        </w:trPr>
        <w:tc>
          <w:tcPr>
            <w:tcW w:w="228" w:type="pct"/>
            <w:vAlign w:val="center"/>
          </w:tcPr>
          <w:p>
            <w:pPr>
              <w:pageBreakBefore w:val="0"/>
              <w:numPr>
                <w:ilvl w:val="0"/>
                <w:numId w:val="2"/>
              </w:numPr>
              <w:kinsoku/>
              <w:wordWrap/>
              <w:overflowPunct/>
              <w:topLinePunct w:val="0"/>
              <w:autoSpaceDE/>
              <w:autoSpaceDN/>
              <w:bidi w:val="0"/>
              <w:adjustRightInd/>
              <w:snapToGrid/>
              <w:spacing w:line="312" w:lineRule="auto"/>
              <w:ind w:left="-420" w:leftChars="0" w:firstLine="420" w:firstLineChars="0"/>
              <w:jc w:val="center"/>
              <w:rPr>
                <w:rFonts w:hint="eastAsia" w:ascii="仿宋_GB2312" w:hAnsi="仿宋_GB2312" w:eastAsia="仿宋_GB2312" w:cs="仿宋_GB2312"/>
                <w:sz w:val="21"/>
                <w:szCs w:val="24"/>
                <w:lang w:val="en-US" w:eastAsia="zh-CN"/>
              </w:rPr>
            </w:pPr>
          </w:p>
        </w:tc>
        <w:tc>
          <w:tcPr>
            <w:tcW w:w="468" w:type="pct"/>
            <w:vMerge w:val="restart"/>
            <w:vAlign w:val="center"/>
          </w:tcPr>
          <w:p>
            <w:pPr>
              <w:keepNext w:val="0"/>
              <w:keepLines w:val="0"/>
              <w:pageBreakBefore w:val="0"/>
              <w:widowControl w:val="0"/>
              <w:kinsoku/>
              <w:wordWrap/>
              <w:overflowPunct/>
              <w:topLinePunct w:val="0"/>
              <w:autoSpaceDE/>
              <w:autoSpaceDN/>
              <w:bidi w:val="0"/>
              <w:adjustRightInd/>
              <w:snapToGrid/>
              <w:spacing w:before="158" w:line="312" w:lineRule="auto"/>
              <w:ind w:right="0" w:rightChars="0"/>
              <w:jc w:val="center"/>
              <w:textAlignment w:val="auto"/>
              <w:rPr>
                <w:rFonts w:hint="eastAsia" w:ascii="仿宋_GB2312" w:hAnsi="仿宋_GB2312" w:eastAsia="仿宋_GB2312" w:cs="仿宋_GB2312"/>
                <w:sz w:val="21"/>
                <w:szCs w:val="24"/>
              </w:rPr>
            </w:pPr>
            <w:r>
              <w:rPr>
                <w:rFonts w:hint="eastAsia" w:ascii="仿宋_GB2312" w:hAnsi="仿宋_GB2312" w:eastAsia="仿宋_GB2312" w:cs="仿宋_GB2312"/>
                <w:color w:val="auto"/>
                <w:sz w:val="21"/>
                <w:szCs w:val="21"/>
                <w:highlight w:val="none"/>
              </w:rPr>
              <w:t>安全</w:t>
            </w:r>
            <w:r>
              <w:rPr>
                <w:rFonts w:hint="eastAsia" w:ascii="仿宋_GB2312" w:hAnsi="仿宋_GB2312" w:eastAsia="仿宋_GB2312" w:cs="仿宋_GB2312"/>
                <w:color w:val="auto"/>
                <w:sz w:val="21"/>
                <w:szCs w:val="21"/>
                <w:highlight w:val="none"/>
                <w:lang w:val="en-US" w:eastAsia="zh-CN"/>
              </w:rPr>
              <w:t>建设整改服务</w:t>
            </w:r>
          </w:p>
        </w:tc>
        <w:tc>
          <w:tcPr>
            <w:tcW w:w="436" w:type="pct"/>
            <w:vAlign w:val="center"/>
          </w:tcPr>
          <w:p>
            <w:pPr>
              <w:pageBreakBefore w:val="0"/>
              <w:kinsoku/>
              <w:wordWrap/>
              <w:overflowPunct/>
              <w:topLinePunct w:val="0"/>
              <w:autoSpaceDE/>
              <w:autoSpaceDN/>
              <w:bidi w:val="0"/>
              <w:adjustRightInd/>
              <w:snapToGrid/>
              <w:spacing w:line="312" w:lineRule="auto"/>
              <w:jc w:val="center"/>
              <w:rPr>
                <w:rFonts w:hint="eastAsia" w:ascii="仿宋_GB2312" w:hAnsi="仿宋_GB2312" w:eastAsia="仿宋_GB2312" w:cs="仿宋_GB2312"/>
                <w:color w:val="auto"/>
                <w:sz w:val="21"/>
                <w:szCs w:val="24"/>
                <w:vertAlign w:val="baseline"/>
              </w:rPr>
            </w:pPr>
            <w:r>
              <w:rPr>
                <w:rFonts w:hint="eastAsia" w:ascii="仿宋_GB2312" w:hAnsi="仿宋_GB2312" w:eastAsia="仿宋_GB2312" w:cs="仿宋_GB2312"/>
                <w:i w:val="0"/>
                <w:iCs w:val="0"/>
                <w:color w:val="auto"/>
                <w:kern w:val="0"/>
                <w:sz w:val="21"/>
                <w:szCs w:val="21"/>
                <w:highlight w:val="none"/>
                <w:u w:val="none"/>
                <w:lang w:val="en-US" w:eastAsia="zh-CN" w:bidi="ar"/>
              </w:rPr>
              <w:t>漏洞验证修复</w:t>
            </w:r>
          </w:p>
        </w:tc>
        <w:tc>
          <w:tcPr>
            <w:tcW w:w="3315" w:type="pct"/>
            <w:vAlign w:val="top"/>
          </w:tcPr>
          <w:p>
            <w:pPr>
              <w:keepNext w:val="0"/>
              <w:keepLines w:val="0"/>
              <w:pageBreakBefore w:val="0"/>
              <w:widowControl/>
              <w:numPr>
                <w:ilvl w:val="0"/>
                <w:numId w:val="3"/>
              </w:numPr>
              <w:suppressLineNumbers w:val="0"/>
              <w:kinsoku/>
              <w:wordWrap/>
              <w:overflowPunct/>
              <w:topLinePunct w:val="0"/>
              <w:autoSpaceDE/>
              <w:autoSpaceDN/>
              <w:bidi w:val="0"/>
              <w:adjustRightInd/>
              <w:snapToGrid/>
              <w:spacing w:line="312" w:lineRule="auto"/>
              <w:jc w:val="left"/>
              <w:textAlignment w:val="center"/>
              <w:rPr>
                <w:rFonts w:hint="eastAsia" w:ascii="仿宋_GB2312" w:hAnsi="仿宋_GB2312" w:eastAsia="仿宋_GB2312" w:cs="仿宋_GB2312"/>
                <w:sz w:val="21"/>
                <w:szCs w:val="24"/>
              </w:rPr>
            </w:pPr>
            <w:r>
              <w:rPr>
                <w:rFonts w:hint="eastAsia" w:ascii="仿宋_GB2312" w:hAnsi="仿宋_GB2312" w:eastAsia="仿宋_GB2312" w:cs="仿宋_GB2312"/>
                <w:color w:val="auto"/>
                <w:kern w:val="0"/>
                <w:sz w:val="21"/>
                <w:szCs w:val="21"/>
                <w:highlight w:val="none"/>
                <w:lang w:bidi="ar"/>
              </w:rPr>
              <w:t>利用合法合规的安全扫描工具对现有网络系统服务器、网络设备、数据库、应用软件进行漏洞探测，对扫描结果进行人工验证，评估安全漏洞的危害程度及被威胁利用难易程度</w:t>
            </w:r>
            <w:r>
              <w:rPr>
                <w:rFonts w:hint="eastAsia" w:ascii="仿宋_GB2312" w:hAnsi="仿宋_GB2312" w:eastAsia="仿宋_GB2312" w:cs="仿宋_GB2312"/>
                <w:color w:val="auto"/>
                <w:kern w:val="0"/>
                <w:sz w:val="21"/>
                <w:szCs w:val="21"/>
                <w:highlight w:val="none"/>
                <w:lang w:eastAsia="zh-CN" w:bidi="ar"/>
              </w:rPr>
              <w:t>，</w:t>
            </w:r>
            <w:r>
              <w:rPr>
                <w:rFonts w:hint="eastAsia" w:ascii="仿宋_GB2312" w:hAnsi="仿宋_GB2312" w:eastAsia="仿宋_GB2312" w:cs="仿宋_GB2312"/>
                <w:color w:val="auto"/>
                <w:kern w:val="0"/>
                <w:sz w:val="21"/>
                <w:szCs w:val="21"/>
                <w:highlight w:val="none"/>
                <w:lang w:val="en-US" w:eastAsia="zh-CN" w:bidi="ar"/>
              </w:rPr>
              <w:t>根据情况进行验证修复</w:t>
            </w:r>
            <w:r>
              <w:rPr>
                <w:rFonts w:hint="eastAsia" w:ascii="仿宋_GB2312" w:hAnsi="仿宋_GB2312" w:eastAsia="仿宋_GB2312" w:cs="仿宋_GB2312"/>
                <w:color w:val="auto"/>
                <w:kern w:val="0"/>
                <w:sz w:val="21"/>
                <w:szCs w:val="21"/>
                <w:highlight w:val="none"/>
                <w:lang w:eastAsia="zh-CN" w:bidi="ar"/>
              </w:rPr>
              <w:t>，</w:t>
            </w:r>
            <w:r>
              <w:rPr>
                <w:rFonts w:hint="eastAsia" w:ascii="仿宋_GB2312" w:hAnsi="仿宋_GB2312" w:eastAsia="仿宋_GB2312" w:cs="仿宋_GB2312"/>
                <w:color w:val="auto"/>
                <w:kern w:val="0"/>
                <w:sz w:val="21"/>
                <w:szCs w:val="21"/>
                <w:highlight w:val="none"/>
                <w:lang w:bidi="ar"/>
              </w:rPr>
              <w:t>服务成果文档包含但不限于《</w:t>
            </w:r>
            <w:r>
              <w:rPr>
                <w:rFonts w:hint="eastAsia" w:ascii="仿宋_GB2312" w:hAnsi="仿宋_GB2312" w:eastAsia="仿宋_GB2312" w:cs="仿宋_GB2312"/>
                <w:color w:val="auto"/>
                <w:kern w:val="0"/>
                <w:sz w:val="21"/>
                <w:szCs w:val="21"/>
                <w:highlight w:val="none"/>
                <w:lang w:val="en-US" w:eastAsia="zh-CN" w:bidi="ar"/>
              </w:rPr>
              <w:t>验证修复</w:t>
            </w:r>
            <w:r>
              <w:rPr>
                <w:rFonts w:hint="eastAsia" w:ascii="仿宋_GB2312" w:hAnsi="仿宋_GB2312" w:eastAsia="仿宋_GB2312" w:cs="仿宋_GB2312"/>
                <w:color w:val="auto"/>
                <w:kern w:val="0"/>
                <w:sz w:val="21"/>
                <w:szCs w:val="21"/>
                <w:highlight w:val="none"/>
                <w:lang w:bidi="ar"/>
              </w:rPr>
              <w:t>报告》；</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line="312" w:lineRule="auto"/>
              <w:jc w:val="left"/>
              <w:textAlignment w:val="center"/>
              <w:rPr>
                <w:rFonts w:hint="eastAsia" w:ascii="仿宋_GB2312" w:hAnsi="仿宋_GB2312" w:eastAsia="仿宋_GB2312" w:cs="仿宋_GB2312"/>
                <w:sz w:val="21"/>
                <w:szCs w:val="24"/>
                <w:lang w:val="en-US" w:eastAsia="zh-CN"/>
              </w:rPr>
            </w:pPr>
            <w:r>
              <w:rPr>
                <w:rFonts w:hint="eastAsia" w:ascii="仿宋_GB2312" w:hAnsi="仿宋_GB2312" w:eastAsia="仿宋_GB2312" w:cs="仿宋_GB2312"/>
                <w:color w:val="auto"/>
                <w:kern w:val="0"/>
                <w:sz w:val="21"/>
                <w:szCs w:val="21"/>
                <w:highlight w:val="none"/>
                <w:lang w:val="en-US" w:eastAsia="zh-CN" w:bidi="ar"/>
              </w:rPr>
              <w:t>针对评估结果并根据现状情况开展安全配置优化，进行风险规避；针对需要整改的漏洞协助相关系统业务人员开展整改。</w:t>
            </w:r>
          </w:p>
        </w:tc>
        <w:tc>
          <w:tcPr>
            <w:tcW w:w="550" w:type="pct"/>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12" w:lineRule="auto"/>
              <w:jc w:val="left"/>
              <w:textAlignment w:val="center"/>
              <w:rPr>
                <w:rFonts w:hint="default" w:ascii="仿宋_GB2312" w:hAnsi="仿宋_GB2312" w:eastAsia="仿宋_GB2312" w:cs="仿宋_GB2312"/>
                <w:color w:val="auto"/>
                <w:kern w:val="0"/>
                <w:sz w:val="21"/>
                <w:szCs w:val="21"/>
                <w:highlight w:val="none"/>
                <w:lang w:val="en-US" w:eastAsia="zh-CN" w:bidi="ar"/>
              </w:rPr>
            </w:pPr>
            <w:r>
              <w:rPr>
                <w:rFonts w:hint="eastAsia" w:ascii="仿宋_GB2312" w:hAnsi="仿宋_GB2312" w:eastAsia="仿宋_GB2312" w:cs="仿宋_GB2312"/>
                <w:color w:val="auto"/>
                <w:kern w:val="0"/>
                <w:sz w:val="21"/>
                <w:szCs w:val="21"/>
                <w:highlight w:val="none"/>
                <w:lang w:val="en-US" w:eastAsia="zh-CN" w:bidi="ar"/>
              </w:rPr>
              <w:t>2次/2年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1" w:hRule="atLeast"/>
          <w:jc w:val="center"/>
        </w:trPr>
        <w:tc>
          <w:tcPr>
            <w:tcW w:w="228" w:type="pct"/>
            <w:vAlign w:val="center"/>
          </w:tcPr>
          <w:p>
            <w:pPr>
              <w:pageBreakBefore w:val="0"/>
              <w:numPr>
                <w:ilvl w:val="0"/>
                <w:numId w:val="2"/>
              </w:numPr>
              <w:kinsoku/>
              <w:wordWrap/>
              <w:overflowPunct/>
              <w:topLinePunct w:val="0"/>
              <w:autoSpaceDE/>
              <w:autoSpaceDN/>
              <w:bidi w:val="0"/>
              <w:adjustRightInd/>
              <w:snapToGrid/>
              <w:spacing w:line="312" w:lineRule="auto"/>
              <w:ind w:left="-420" w:leftChars="0" w:firstLine="420" w:firstLineChars="0"/>
              <w:jc w:val="center"/>
              <w:rPr>
                <w:rFonts w:hint="eastAsia" w:ascii="仿宋_GB2312" w:hAnsi="仿宋_GB2312" w:eastAsia="仿宋_GB2312" w:cs="仿宋_GB2312"/>
                <w:sz w:val="21"/>
                <w:szCs w:val="24"/>
                <w:lang w:val="en-US" w:eastAsia="zh-CN"/>
              </w:rPr>
            </w:pPr>
          </w:p>
        </w:tc>
        <w:tc>
          <w:tcPr>
            <w:tcW w:w="468" w:type="pct"/>
            <w:vMerge w:val="continue"/>
            <w:vAlign w:val="center"/>
          </w:tcPr>
          <w:p>
            <w:pPr>
              <w:keepNext w:val="0"/>
              <w:keepLines w:val="0"/>
              <w:pageBreakBefore w:val="0"/>
              <w:widowControl w:val="0"/>
              <w:kinsoku/>
              <w:wordWrap/>
              <w:overflowPunct/>
              <w:topLinePunct w:val="0"/>
              <w:autoSpaceDE/>
              <w:autoSpaceDN/>
              <w:bidi w:val="0"/>
              <w:adjustRightInd/>
              <w:snapToGrid/>
              <w:spacing w:before="158" w:line="312" w:lineRule="auto"/>
              <w:ind w:right="0" w:rightChars="0"/>
              <w:jc w:val="center"/>
              <w:textAlignment w:val="auto"/>
              <w:rPr>
                <w:rFonts w:hint="eastAsia" w:ascii="仿宋_GB2312" w:hAnsi="仿宋_GB2312" w:eastAsia="仿宋_GB2312" w:cs="仿宋_GB2312"/>
                <w:color w:val="auto"/>
                <w:sz w:val="21"/>
                <w:szCs w:val="21"/>
                <w:highlight w:val="none"/>
              </w:rPr>
            </w:pPr>
          </w:p>
        </w:tc>
        <w:tc>
          <w:tcPr>
            <w:tcW w:w="436" w:type="pct"/>
            <w:vAlign w:val="top"/>
          </w:tcPr>
          <w:p>
            <w:pPr>
              <w:keepNext w:val="0"/>
              <w:keepLines w:val="0"/>
              <w:pageBreakBefore w:val="0"/>
              <w:widowControl/>
              <w:suppressLineNumbers w:val="0"/>
              <w:kinsoku/>
              <w:wordWrap/>
              <w:overflowPunct/>
              <w:topLinePunct w:val="0"/>
              <w:autoSpaceDE/>
              <w:autoSpaceDN/>
              <w:bidi w:val="0"/>
              <w:adjustRightInd/>
              <w:snapToGrid/>
              <w:spacing w:line="312" w:lineRule="auto"/>
              <w:jc w:val="both"/>
              <w:textAlignment w:val="center"/>
              <w:rPr>
                <w:rFonts w:hint="eastAsia" w:ascii="仿宋_GB2312" w:hAnsi="仿宋_GB2312" w:eastAsia="仿宋_GB2312" w:cs="仿宋_GB2312"/>
                <w:i w:val="0"/>
                <w:iCs w:val="0"/>
                <w:color w:val="auto"/>
                <w:kern w:val="0"/>
                <w:sz w:val="21"/>
                <w:szCs w:val="21"/>
                <w:highlight w:val="none"/>
                <w:u w:val="none"/>
                <w:lang w:val="en-US" w:eastAsia="zh-CN" w:bidi="ar"/>
              </w:rPr>
            </w:pPr>
            <w:r>
              <w:rPr>
                <w:rFonts w:hint="eastAsia" w:ascii="仿宋_GB2312" w:hAnsi="仿宋_GB2312" w:eastAsia="仿宋_GB2312" w:cs="仿宋_GB2312"/>
                <w:color w:val="auto"/>
                <w:sz w:val="21"/>
                <w:szCs w:val="21"/>
                <w:highlight w:val="none"/>
                <w:lang w:val="en-US" w:eastAsia="zh-CN"/>
              </w:rPr>
              <w:t>终端防御检测与响应平台</w:t>
            </w:r>
          </w:p>
        </w:tc>
        <w:tc>
          <w:tcPr>
            <w:tcW w:w="3315" w:type="pct"/>
            <w:vAlign w:val="top"/>
          </w:tcPr>
          <w:p>
            <w:pPr>
              <w:keepNext w:val="0"/>
              <w:keepLines w:val="0"/>
              <w:pageBreakBefore w:val="0"/>
              <w:widowControl/>
              <w:suppressLineNumbers w:val="0"/>
              <w:kinsoku/>
              <w:wordWrap/>
              <w:overflowPunct/>
              <w:topLinePunct w:val="0"/>
              <w:autoSpaceDE/>
              <w:autoSpaceDN/>
              <w:bidi w:val="0"/>
              <w:adjustRightInd/>
              <w:snapToGrid/>
              <w:spacing w:line="312" w:lineRule="auto"/>
              <w:jc w:val="both"/>
              <w:textAlignment w:val="center"/>
              <w:rPr>
                <w:rFonts w:hint="eastAsia" w:ascii="仿宋_GB2312" w:hAnsi="仿宋_GB2312" w:eastAsia="仿宋_GB2312" w:cs="仿宋_GB2312"/>
                <w:b w:val="0"/>
                <w:bCs w:val="0"/>
                <w:i w:val="0"/>
                <w:iCs w:val="0"/>
                <w:color w:val="auto"/>
                <w:kern w:val="0"/>
                <w:sz w:val="21"/>
                <w:szCs w:val="21"/>
                <w:highlight w:val="none"/>
                <w:u w:val="none"/>
                <w:lang w:val="en-US" w:eastAsia="zh-CN" w:bidi="ar"/>
              </w:rPr>
            </w:pPr>
            <w:r>
              <w:rPr>
                <w:rFonts w:hint="eastAsia" w:ascii="仿宋_GB2312" w:hAnsi="仿宋_GB2312" w:eastAsia="仿宋_GB2312" w:cs="仿宋_GB2312"/>
                <w:b w:val="0"/>
                <w:bCs w:val="0"/>
                <w:i w:val="0"/>
                <w:iCs w:val="0"/>
                <w:color w:val="auto"/>
                <w:kern w:val="0"/>
                <w:sz w:val="21"/>
                <w:szCs w:val="21"/>
                <w:highlight w:val="none"/>
                <w:u w:val="none"/>
                <w:lang w:val="en-US" w:eastAsia="zh-CN" w:bidi="ar"/>
              </w:rPr>
              <w:t>性能参数：最大支持管控</w:t>
            </w:r>
            <w:r>
              <w:rPr>
                <w:rFonts w:hint="eastAsia" w:ascii="仿宋_GB2312" w:hAnsi="仿宋_GB2312" w:eastAsia="仿宋_GB2312" w:cs="仿宋_GB2312"/>
                <w:color w:val="auto"/>
                <w:sz w:val="21"/>
                <w:szCs w:val="21"/>
                <w:highlight w:val="none"/>
                <w:lang w:val="en-US" w:eastAsia="zh-CN"/>
              </w:rPr>
              <w:t>终端安全管理系统软件</w:t>
            </w:r>
            <w:r>
              <w:rPr>
                <w:rFonts w:hint="eastAsia" w:ascii="仿宋_GB2312" w:hAnsi="仿宋_GB2312" w:eastAsia="仿宋_GB2312" w:cs="仿宋_GB2312"/>
                <w:b w:val="0"/>
                <w:bCs w:val="0"/>
                <w:i w:val="0"/>
                <w:iCs w:val="0"/>
                <w:color w:val="auto"/>
                <w:kern w:val="0"/>
                <w:sz w:val="21"/>
                <w:szCs w:val="21"/>
                <w:highlight w:val="none"/>
                <w:u w:val="none"/>
                <w:lang w:val="en-US" w:eastAsia="zh-CN" w:bidi="ar"/>
              </w:rPr>
              <w:t>客户端数量：纯内网场景或者2000点以上。</w:t>
            </w:r>
          </w:p>
          <w:p>
            <w:pPr>
              <w:keepNext w:val="0"/>
              <w:keepLines w:val="0"/>
              <w:pageBreakBefore w:val="0"/>
              <w:widowControl/>
              <w:suppressLineNumbers w:val="0"/>
              <w:kinsoku/>
              <w:wordWrap/>
              <w:overflowPunct/>
              <w:topLinePunct w:val="0"/>
              <w:autoSpaceDE/>
              <w:autoSpaceDN/>
              <w:bidi w:val="0"/>
              <w:adjustRightInd/>
              <w:snapToGrid/>
              <w:spacing w:line="312" w:lineRule="auto"/>
              <w:jc w:val="both"/>
              <w:textAlignment w:val="center"/>
              <w:rPr>
                <w:rFonts w:hint="eastAsia" w:ascii="仿宋_GB2312" w:hAnsi="仿宋_GB2312" w:eastAsia="仿宋_GB2312" w:cs="仿宋_GB2312"/>
                <w:color w:val="auto"/>
                <w:kern w:val="0"/>
                <w:sz w:val="21"/>
                <w:szCs w:val="21"/>
                <w:highlight w:val="none"/>
                <w:lang w:val="en-US" w:eastAsia="zh-CN" w:bidi="ar"/>
              </w:rPr>
            </w:pPr>
            <w:r>
              <w:rPr>
                <w:rFonts w:hint="eastAsia" w:ascii="仿宋_GB2312" w:hAnsi="仿宋_GB2312" w:eastAsia="仿宋_GB2312" w:cs="仿宋_GB2312"/>
                <w:b w:val="0"/>
                <w:bCs w:val="0"/>
                <w:i w:val="0"/>
                <w:iCs w:val="0"/>
                <w:color w:val="auto"/>
                <w:kern w:val="0"/>
                <w:sz w:val="21"/>
                <w:szCs w:val="21"/>
                <w:highlight w:val="none"/>
                <w:u w:val="none"/>
                <w:lang w:val="en-US" w:eastAsia="zh-CN" w:bidi="ar"/>
              </w:rPr>
              <w:t>安全策略模板一体化设置，全网资产盘点与风险可视，自动化日志可视化报表一键导出，管理账号分权分域，总分平台级联控制；管理平台需搭配客户端软件一齐使用，服务期内免费升级，含：终端安全管理系统软件V3.0（产品控制中心）(*1套)；端点安全软件V3.0（服务器全量版）(*10套)；软件升级（服务器端）；软件升级（PC端）。</w:t>
            </w:r>
          </w:p>
        </w:tc>
        <w:tc>
          <w:tcPr>
            <w:tcW w:w="550" w:type="pct"/>
            <w:vAlign w:val="top"/>
          </w:tcPr>
          <w:p>
            <w:pPr>
              <w:keepNext w:val="0"/>
              <w:keepLines w:val="0"/>
              <w:pageBreakBefore w:val="0"/>
              <w:widowControl/>
              <w:suppressLineNumbers w:val="0"/>
              <w:kinsoku/>
              <w:wordWrap/>
              <w:overflowPunct/>
              <w:topLinePunct w:val="0"/>
              <w:autoSpaceDE/>
              <w:autoSpaceDN/>
              <w:bidi w:val="0"/>
              <w:adjustRightInd/>
              <w:snapToGrid/>
              <w:spacing w:line="312" w:lineRule="auto"/>
              <w:jc w:val="both"/>
              <w:textAlignment w:val="center"/>
              <w:rPr>
                <w:rFonts w:hint="default" w:ascii="仿宋_GB2312" w:hAnsi="仿宋_GB2312" w:eastAsia="仿宋_GB2312" w:cs="仿宋_GB2312"/>
                <w:b w:val="0"/>
                <w:bCs w:val="0"/>
                <w:i w:val="0"/>
                <w:iCs w:val="0"/>
                <w:color w:val="auto"/>
                <w:kern w:val="0"/>
                <w:sz w:val="21"/>
                <w:szCs w:val="21"/>
                <w:highlight w:val="none"/>
                <w:u w:val="none"/>
                <w:lang w:val="en-US" w:eastAsia="zh-CN" w:bidi="ar"/>
              </w:rPr>
            </w:pPr>
            <w:r>
              <w:rPr>
                <w:rFonts w:hint="eastAsia" w:ascii="仿宋_GB2312" w:hAnsi="仿宋_GB2312" w:eastAsia="仿宋_GB2312" w:cs="仿宋_GB2312"/>
                <w:b w:val="0"/>
                <w:bCs w:val="0"/>
                <w:i w:val="0"/>
                <w:iCs w:val="0"/>
                <w:color w:val="auto"/>
                <w:kern w:val="0"/>
                <w:sz w:val="21"/>
                <w:szCs w:val="21"/>
                <w:highlight w:val="none"/>
                <w:u w:val="none"/>
                <w:lang w:val="en-US" w:eastAsia="zh-CN" w:bidi="ar"/>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3" w:hRule="atLeast"/>
          <w:jc w:val="center"/>
        </w:trPr>
        <w:tc>
          <w:tcPr>
            <w:tcW w:w="228" w:type="pct"/>
            <w:vAlign w:val="center"/>
          </w:tcPr>
          <w:p>
            <w:pPr>
              <w:pageBreakBefore w:val="0"/>
              <w:numPr>
                <w:ilvl w:val="0"/>
                <w:numId w:val="2"/>
              </w:numPr>
              <w:kinsoku/>
              <w:wordWrap/>
              <w:overflowPunct/>
              <w:topLinePunct w:val="0"/>
              <w:autoSpaceDE/>
              <w:autoSpaceDN/>
              <w:bidi w:val="0"/>
              <w:adjustRightInd/>
              <w:snapToGrid/>
              <w:spacing w:line="312" w:lineRule="auto"/>
              <w:ind w:left="-420" w:leftChars="0" w:firstLine="420" w:firstLineChars="0"/>
              <w:jc w:val="center"/>
              <w:rPr>
                <w:rFonts w:hint="eastAsia" w:ascii="仿宋_GB2312" w:hAnsi="仿宋_GB2312" w:eastAsia="仿宋_GB2312" w:cs="仿宋_GB2312"/>
                <w:sz w:val="21"/>
                <w:szCs w:val="24"/>
                <w:lang w:val="en-US" w:eastAsia="zh-CN"/>
              </w:rPr>
            </w:pPr>
          </w:p>
        </w:tc>
        <w:tc>
          <w:tcPr>
            <w:tcW w:w="468" w:type="pct"/>
            <w:vMerge w:val="continue"/>
            <w:vAlign w:val="center"/>
          </w:tcPr>
          <w:p>
            <w:pPr>
              <w:keepNext w:val="0"/>
              <w:keepLines w:val="0"/>
              <w:pageBreakBefore w:val="0"/>
              <w:widowControl w:val="0"/>
              <w:kinsoku/>
              <w:wordWrap/>
              <w:overflowPunct/>
              <w:topLinePunct w:val="0"/>
              <w:autoSpaceDE/>
              <w:autoSpaceDN/>
              <w:bidi w:val="0"/>
              <w:adjustRightInd/>
              <w:snapToGrid/>
              <w:spacing w:before="158" w:line="312" w:lineRule="auto"/>
              <w:ind w:right="0" w:rightChars="0"/>
              <w:jc w:val="center"/>
              <w:textAlignment w:val="auto"/>
              <w:rPr>
                <w:rFonts w:hint="eastAsia" w:ascii="仿宋_GB2312" w:hAnsi="仿宋_GB2312" w:eastAsia="仿宋_GB2312" w:cs="仿宋_GB2312"/>
                <w:color w:val="auto"/>
                <w:sz w:val="21"/>
                <w:szCs w:val="21"/>
                <w:highlight w:val="none"/>
              </w:rPr>
            </w:pPr>
          </w:p>
        </w:tc>
        <w:tc>
          <w:tcPr>
            <w:tcW w:w="436" w:type="pct"/>
            <w:vAlign w:val="top"/>
          </w:tcPr>
          <w:p>
            <w:pPr>
              <w:keepNext w:val="0"/>
              <w:keepLines w:val="0"/>
              <w:pageBreakBefore w:val="0"/>
              <w:widowControl/>
              <w:suppressLineNumbers w:val="0"/>
              <w:kinsoku/>
              <w:wordWrap/>
              <w:overflowPunct/>
              <w:topLinePunct w:val="0"/>
              <w:autoSpaceDE/>
              <w:autoSpaceDN/>
              <w:bidi w:val="0"/>
              <w:adjustRightInd/>
              <w:snapToGrid/>
              <w:spacing w:line="312" w:lineRule="auto"/>
              <w:jc w:val="both"/>
              <w:textAlignment w:val="center"/>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安全服务互联网出口加固服务</w:t>
            </w:r>
          </w:p>
        </w:tc>
        <w:tc>
          <w:tcPr>
            <w:tcW w:w="3315" w:type="pct"/>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12" w:lineRule="auto"/>
              <w:jc w:val="both"/>
              <w:textAlignment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服务组件性能参数：网络层吞吐量：4G，应用层吞吐量：2G，防病毒吞吐量：600M，IPS吞吐量：600M，全威胁吞吐量：450M，并发连接数：200万，HTTP新建连接数：6万，SSL VPN推荐用户数：20，SSL VPN最大用户数：60，SSL VPN最大理论加密流量：160M，IPSec VPN 最大接入数：300，IPSec  VPN吞吐量：270M。</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12" w:lineRule="auto"/>
              <w:jc w:val="both"/>
              <w:textAlignment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服务组件参数：规格：1U，内存大小：4G，硬盘容量：64G SSD，电源：单电源，接口：8千兆电口+2千兆光口SFP。</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12" w:lineRule="auto"/>
              <w:ind w:left="0" w:leftChars="0" w:firstLine="0" w:firstLineChars="0"/>
              <w:jc w:val="both"/>
              <w:textAlignment w:val="center"/>
              <w:rPr>
                <w:rFonts w:hint="eastAsia" w:ascii="仿宋_GB2312" w:hAnsi="仿宋_GB2312" w:eastAsia="仿宋_GB2312" w:cs="仿宋_GB2312"/>
                <w:sz w:val="20"/>
                <w:szCs w:val="22"/>
                <w:lang w:val="en-US" w:eastAsia="zh-CN"/>
              </w:rPr>
            </w:pPr>
            <w:r>
              <w:rPr>
                <w:rFonts w:hint="eastAsia" w:ascii="仿宋_GB2312" w:hAnsi="仿宋_GB2312" w:eastAsia="仿宋_GB2312" w:cs="仿宋_GB2312"/>
                <w:lang w:val="en-US" w:eastAsia="zh-CN"/>
              </w:rPr>
              <w:t>含：防火墙软件基础级(*1套)；防火墙软件增强级模块(*1套)；云智订阅软件（AF8.0.7及以上版本适用）(*1套)；产品质保(*2年)；软件升</w:t>
            </w:r>
            <w:r>
              <w:rPr>
                <w:rFonts w:hint="eastAsia" w:ascii="仿宋_GB2312" w:hAnsi="仿宋_GB2312" w:eastAsia="仿宋_GB2312" w:cs="仿宋_GB2312"/>
                <w:sz w:val="20"/>
                <w:szCs w:val="22"/>
                <w:lang w:val="en-US" w:eastAsia="zh-CN"/>
              </w:rPr>
              <w:t>级(*2年)；</w:t>
            </w:r>
          </w:p>
          <w:p>
            <w:pPr>
              <w:pStyle w:val="2"/>
              <w:rPr>
                <w:rFonts w:hint="default"/>
                <w:lang w:val="en-US" w:eastAsia="zh-CN"/>
              </w:rPr>
            </w:pPr>
            <w:r>
              <w:rPr>
                <w:rFonts w:hint="eastAsia" w:ascii="仿宋_GB2312" w:hAnsi="仿宋_GB2312" w:eastAsia="仿宋_GB2312" w:cs="仿宋_GB2312"/>
                <w:kern w:val="2"/>
                <w:sz w:val="21"/>
                <w:szCs w:val="24"/>
                <w:lang w:val="en-US" w:eastAsia="zh-CN" w:bidi="ar-SA"/>
              </w:rPr>
              <w:t>硬件设备全部由中标商提供。</w:t>
            </w:r>
          </w:p>
        </w:tc>
        <w:tc>
          <w:tcPr>
            <w:tcW w:w="550" w:type="pct"/>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12" w:lineRule="auto"/>
              <w:ind w:left="0" w:leftChars="0" w:firstLine="0" w:firstLineChars="0"/>
              <w:jc w:val="both"/>
              <w:textAlignment w:val="center"/>
              <w:rPr>
                <w:rFonts w:hint="default" w:ascii="仿宋_GB2312" w:hAnsi="仿宋_GB2312" w:eastAsia="仿宋_GB2312" w:cs="仿宋_GB2312"/>
                <w:color w:val="auto"/>
                <w:kern w:val="0"/>
                <w:sz w:val="21"/>
                <w:szCs w:val="21"/>
                <w:highlight w:val="none"/>
                <w:lang w:val="en-US" w:eastAsia="zh-CN" w:bidi="ar"/>
              </w:rPr>
            </w:pPr>
            <w:r>
              <w:rPr>
                <w:rFonts w:hint="eastAsia" w:ascii="仿宋_GB2312" w:hAnsi="仿宋_GB2312" w:eastAsia="仿宋_GB2312" w:cs="仿宋_GB2312"/>
                <w:color w:val="auto"/>
                <w:kern w:val="0"/>
                <w:sz w:val="21"/>
                <w:szCs w:val="21"/>
                <w:highlight w:val="none"/>
                <w:lang w:val="en-US" w:eastAsia="zh-CN" w:bidi="ar"/>
              </w:rPr>
              <w:t>2年</w:t>
            </w:r>
          </w:p>
        </w:tc>
      </w:tr>
    </w:tbl>
    <w:p>
      <w:pPr>
        <w:bidi w:val="0"/>
        <w:jc w:val="left"/>
        <w:rPr>
          <w:rFonts w:hint="default" w:eastAsia="宋体" w:asciiTheme="minorAscii" w:hAnsiTheme="minorAscii" w:cstheme="minorBidi"/>
          <w:kern w:val="2"/>
          <w:sz w:val="24"/>
          <w:szCs w:val="24"/>
          <w:lang w:val="en-US" w:eastAsia="zh-CN" w:bidi="ar-SA"/>
        </w:rPr>
      </w:pPr>
    </w:p>
    <w:p>
      <w:pPr>
        <w:pStyle w:val="2"/>
        <w:ind w:left="0" w:leftChars="0" w:firstLine="0" w:firstLineChars="0"/>
        <w:rPr>
          <w:rFonts w:hint="default" w:eastAsia="宋体" w:asciiTheme="minorAscii" w:hAnsiTheme="minorAscii" w:cstheme="minorBidi"/>
          <w:kern w:val="2"/>
          <w:sz w:val="24"/>
          <w:szCs w:val="24"/>
          <w:lang w:val="en-US" w:eastAsia="zh-CN" w:bidi="ar-SA"/>
        </w:rPr>
        <w:sectPr>
          <w:headerReference r:id="rId3" w:type="default"/>
          <w:footerReference r:id="rId4" w:type="default"/>
          <w:pgSz w:w="11906" w:h="16838"/>
          <w:pgMar w:top="1440" w:right="1080" w:bottom="1440" w:left="1080" w:header="851" w:footer="992" w:gutter="0"/>
          <w:cols w:space="425" w:num="1"/>
          <w:docGrid w:type="lines" w:linePitch="312" w:charSpace="0"/>
        </w:sectPr>
      </w:pPr>
    </w:p>
    <w:p>
      <w:pPr>
        <w:pStyle w:val="3"/>
        <w:keepNext/>
        <w:keepLines/>
        <w:pageBreakBefore w:val="0"/>
        <w:widowControl w:val="0"/>
        <w:numPr>
          <w:ilvl w:val="1"/>
          <w:numId w:val="0"/>
        </w:numPr>
        <w:kinsoku/>
        <w:wordWrap/>
        <w:overflowPunct/>
        <w:topLinePunct w:val="0"/>
        <w:autoSpaceDE/>
        <w:autoSpaceDN/>
        <w:bidi w:val="0"/>
        <w:adjustRightInd/>
        <w:snapToGrid/>
        <w:spacing w:before="0" w:after="0" w:line="312" w:lineRule="auto"/>
        <w:ind w:leftChars="0"/>
        <w:textAlignment w:val="auto"/>
        <w:rPr>
          <w:rFonts w:hint="default"/>
          <w:lang w:val="en-US" w:eastAsia="zh-CN"/>
        </w:rPr>
      </w:pPr>
      <w:bookmarkStart w:id="1" w:name="_Toc6114"/>
      <w:r>
        <w:rPr>
          <w:rFonts w:hint="eastAsia"/>
          <w:lang w:val="en-US" w:eastAsia="zh-CN"/>
        </w:rPr>
        <w:t>二、网络信息化安全服务清单</w:t>
      </w:r>
      <w:bookmarkEnd w:id="1"/>
    </w:p>
    <w:tbl>
      <w:tblPr>
        <w:tblStyle w:val="12"/>
        <w:tblW w:w="482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702"/>
        <w:gridCol w:w="713"/>
        <w:gridCol w:w="713"/>
        <w:gridCol w:w="549"/>
        <w:gridCol w:w="5106"/>
        <w:gridCol w:w="117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2" w:hRule="atLeast"/>
          <w:jc w:val="center"/>
        </w:trPr>
        <w:tc>
          <w:tcPr>
            <w:tcW w:w="392" w:type="pct"/>
            <w:tcBorders>
              <w:tl2br w:val="nil"/>
              <w:tr2bl w:val="nil"/>
            </w:tcBorders>
            <w:shd w:val="clear" w:color="auto" w:fill="auto"/>
            <w:vAlign w:val="center"/>
          </w:tcPr>
          <w:p>
            <w:pPr>
              <w:pStyle w:val="5"/>
              <w:pageBreakBefore w:val="0"/>
              <w:numPr>
                <w:ilvl w:val="3"/>
                <w:numId w:val="0"/>
              </w:numPr>
              <w:kinsoku/>
              <w:wordWrap/>
              <w:overflowPunct/>
              <w:topLinePunct w:val="0"/>
              <w:autoSpaceDE/>
              <w:autoSpaceDN/>
              <w:bidi w:val="0"/>
              <w:spacing w:line="312" w:lineRule="auto"/>
              <w:ind w:leftChars="0"/>
              <w:jc w:val="center"/>
              <w:rPr>
                <w:rFonts w:hint="eastAsia" w:ascii="仿宋_GB2312" w:hAnsi="仿宋_GB2312" w:eastAsia="仿宋_GB2312" w:cs="仿宋_GB2312"/>
                <w:b/>
                <w:bCs/>
                <w:i w:val="0"/>
                <w:iCs w:val="0"/>
                <w:color w:val="auto"/>
                <w:sz w:val="21"/>
                <w:szCs w:val="21"/>
                <w:highlight w:val="none"/>
                <w:u w:val="none"/>
              </w:rPr>
            </w:pPr>
            <w:bookmarkStart w:id="2" w:name="OLE_LINK1"/>
            <w:r>
              <w:rPr>
                <w:rFonts w:hint="eastAsia" w:ascii="仿宋_GB2312" w:hAnsi="仿宋_GB2312" w:eastAsia="仿宋_GB2312" w:cs="仿宋_GB2312"/>
                <w:b/>
                <w:bCs/>
                <w:i w:val="0"/>
                <w:iCs w:val="0"/>
                <w:color w:val="auto"/>
                <w:kern w:val="0"/>
                <w:sz w:val="21"/>
                <w:szCs w:val="21"/>
                <w:highlight w:val="none"/>
                <w:u w:val="none"/>
                <w:lang w:val="en-US" w:eastAsia="zh-CN" w:bidi="ar"/>
              </w:rPr>
              <w:t>序号</w:t>
            </w:r>
          </w:p>
        </w:tc>
        <w:tc>
          <w:tcPr>
            <w:tcW w:w="398" w:type="pct"/>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12" w:lineRule="auto"/>
              <w:jc w:val="center"/>
              <w:textAlignment w:val="center"/>
              <w:rPr>
                <w:rFonts w:hint="eastAsia" w:ascii="仿宋_GB2312" w:hAnsi="仿宋_GB2312" w:eastAsia="仿宋_GB2312" w:cs="仿宋_GB2312"/>
                <w:b/>
                <w:bCs/>
                <w:i w:val="0"/>
                <w:iCs w:val="0"/>
                <w:color w:val="auto"/>
                <w:kern w:val="0"/>
                <w:sz w:val="21"/>
                <w:szCs w:val="21"/>
                <w:highlight w:val="none"/>
                <w:u w:val="none"/>
                <w:lang w:val="en-US" w:eastAsia="zh-CN" w:bidi="ar"/>
              </w:rPr>
            </w:pPr>
            <w:r>
              <w:rPr>
                <w:rFonts w:hint="eastAsia" w:ascii="仿宋_GB2312" w:hAnsi="仿宋_GB2312" w:eastAsia="仿宋_GB2312" w:cs="仿宋_GB2312"/>
                <w:b/>
                <w:bCs/>
                <w:i w:val="0"/>
                <w:iCs w:val="0"/>
                <w:color w:val="auto"/>
                <w:kern w:val="0"/>
                <w:sz w:val="21"/>
                <w:szCs w:val="21"/>
                <w:highlight w:val="none"/>
                <w:u w:val="none"/>
                <w:lang w:val="en-US" w:eastAsia="zh-CN" w:bidi="ar"/>
              </w:rPr>
              <w:t>服务项目</w:t>
            </w:r>
          </w:p>
        </w:tc>
        <w:tc>
          <w:tcPr>
            <w:tcW w:w="704" w:type="pct"/>
            <w:gridSpan w:val="2"/>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12" w:lineRule="auto"/>
              <w:jc w:val="center"/>
              <w:textAlignment w:val="center"/>
              <w:rPr>
                <w:rFonts w:hint="eastAsia" w:ascii="仿宋_GB2312" w:hAnsi="仿宋_GB2312" w:eastAsia="仿宋_GB2312" w:cs="仿宋_GB2312"/>
                <w:b/>
                <w:bCs/>
                <w:i w:val="0"/>
                <w:iCs w:val="0"/>
                <w:color w:val="auto"/>
                <w:kern w:val="0"/>
                <w:sz w:val="21"/>
                <w:szCs w:val="21"/>
                <w:highlight w:val="none"/>
                <w:u w:val="none"/>
                <w:lang w:val="en-US" w:eastAsia="zh-CN" w:bidi="ar"/>
              </w:rPr>
            </w:pPr>
            <w:r>
              <w:rPr>
                <w:rFonts w:hint="eastAsia" w:ascii="仿宋_GB2312" w:hAnsi="仿宋_GB2312" w:eastAsia="仿宋_GB2312" w:cs="仿宋_GB2312"/>
                <w:b/>
                <w:bCs/>
                <w:i w:val="0"/>
                <w:iCs w:val="0"/>
                <w:color w:val="auto"/>
                <w:kern w:val="0"/>
                <w:sz w:val="21"/>
                <w:szCs w:val="21"/>
                <w:highlight w:val="none"/>
                <w:u w:val="none"/>
                <w:lang w:val="en-US" w:eastAsia="zh-CN" w:bidi="ar"/>
              </w:rPr>
              <w:t>服务内容</w:t>
            </w:r>
          </w:p>
        </w:tc>
        <w:tc>
          <w:tcPr>
            <w:tcW w:w="2851" w:type="pct"/>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12" w:lineRule="auto"/>
              <w:jc w:val="center"/>
              <w:textAlignment w:val="center"/>
              <w:rPr>
                <w:rFonts w:hint="eastAsia" w:ascii="仿宋_GB2312" w:hAnsi="仿宋_GB2312" w:eastAsia="仿宋_GB2312" w:cs="仿宋_GB2312"/>
                <w:b/>
                <w:bCs/>
                <w:i w:val="0"/>
                <w:iCs w:val="0"/>
                <w:color w:val="auto"/>
                <w:sz w:val="21"/>
                <w:szCs w:val="21"/>
                <w:highlight w:val="none"/>
                <w:u w:val="none"/>
              </w:rPr>
            </w:pPr>
            <w:r>
              <w:rPr>
                <w:rFonts w:hint="eastAsia" w:ascii="仿宋_GB2312" w:hAnsi="仿宋_GB2312" w:eastAsia="仿宋_GB2312" w:cs="仿宋_GB2312"/>
                <w:b/>
                <w:bCs/>
                <w:i w:val="0"/>
                <w:iCs w:val="0"/>
                <w:color w:val="auto"/>
                <w:kern w:val="0"/>
                <w:sz w:val="21"/>
                <w:szCs w:val="21"/>
                <w:highlight w:val="none"/>
                <w:u w:val="none"/>
                <w:lang w:val="en-US" w:eastAsia="zh-CN" w:bidi="ar"/>
              </w:rPr>
              <w:t>服务要求</w:t>
            </w:r>
          </w:p>
        </w:tc>
        <w:tc>
          <w:tcPr>
            <w:tcW w:w="653" w:type="pct"/>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12" w:lineRule="auto"/>
              <w:jc w:val="center"/>
              <w:textAlignment w:val="center"/>
              <w:rPr>
                <w:rFonts w:hint="eastAsia" w:ascii="仿宋_GB2312" w:hAnsi="仿宋_GB2312" w:eastAsia="仿宋_GB2312" w:cs="仿宋_GB2312"/>
                <w:b/>
                <w:bCs/>
                <w:i w:val="0"/>
                <w:iCs w:val="0"/>
                <w:color w:val="auto"/>
                <w:sz w:val="21"/>
                <w:szCs w:val="21"/>
                <w:highlight w:val="none"/>
                <w:u w:val="none"/>
                <w:lang w:val="en-US" w:eastAsia="zh-CN"/>
              </w:rPr>
            </w:pPr>
            <w:r>
              <w:rPr>
                <w:rFonts w:hint="eastAsia" w:ascii="仿宋_GB2312" w:hAnsi="仿宋_GB2312" w:eastAsia="仿宋_GB2312" w:cs="仿宋_GB2312"/>
                <w:b/>
                <w:bCs/>
                <w:i w:val="0"/>
                <w:iCs w:val="0"/>
                <w:color w:val="auto"/>
                <w:sz w:val="21"/>
                <w:szCs w:val="21"/>
                <w:highlight w:val="none"/>
                <w:u w:val="none"/>
                <w:lang w:val="en-US" w:eastAsia="zh-CN"/>
              </w:rPr>
              <w:t>数量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 w:hRule="atLeast"/>
          <w:jc w:val="center"/>
        </w:trPr>
        <w:tc>
          <w:tcPr>
            <w:tcW w:w="392" w:type="pct"/>
            <w:vMerge w:val="restart"/>
            <w:tcBorders>
              <w:tl2br w:val="nil"/>
              <w:tr2bl w:val="nil"/>
            </w:tcBorders>
            <w:shd w:val="clear" w:color="auto" w:fill="auto"/>
            <w:vAlign w:val="top"/>
          </w:tcPr>
          <w:p>
            <w:pPr>
              <w:keepNext w:val="0"/>
              <w:keepLines w:val="0"/>
              <w:pageBreakBefore w:val="0"/>
              <w:widowControl/>
              <w:numPr>
                <w:ilvl w:val="0"/>
                <w:numId w:val="4"/>
              </w:numPr>
              <w:suppressLineNumbers w:val="0"/>
              <w:tabs>
                <w:tab w:val="left" w:pos="630"/>
              </w:tabs>
              <w:kinsoku/>
              <w:wordWrap/>
              <w:overflowPunct/>
              <w:topLinePunct w:val="0"/>
              <w:autoSpaceDE/>
              <w:autoSpaceDN/>
              <w:bidi w:val="0"/>
              <w:adjustRightInd/>
              <w:snapToGrid/>
              <w:spacing w:line="312" w:lineRule="auto"/>
              <w:ind w:left="425" w:leftChars="0" w:right="357" w:rightChars="170" w:hanging="425" w:firstLineChars="0"/>
              <w:jc w:val="both"/>
              <w:textAlignment w:val="center"/>
              <w:rPr>
                <w:rFonts w:hint="eastAsia" w:ascii="仿宋_GB2312" w:hAnsi="仿宋_GB2312" w:eastAsia="仿宋_GB2312" w:cs="仿宋_GB2312"/>
                <w:i w:val="0"/>
                <w:iCs w:val="0"/>
                <w:color w:val="auto"/>
                <w:kern w:val="2"/>
                <w:sz w:val="21"/>
                <w:szCs w:val="21"/>
                <w:highlight w:val="none"/>
                <w:u w:val="none"/>
                <w:lang w:val="en-US" w:eastAsia="zh-CN" w:bidi="ar-SA"/>
              </w:rPr>
            </w:pPr>
          </w:p>
        </w:tc>
        <w:tc>
          <w:tcPr>
            <w:tcW w:w="398" w:type="pct"/>
            <w:vMerge w:val="restart"/>
            <w:tcBorders>
              <w:tl2br w:val="nil"/>
              <w:tr2bl w:val="nil"/>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312" w:lineRule="auto"/>
              <w:jc w:val="both"/>
              <w:textAlignment w:val="center"/>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网络信息化服务</w:t>
            </w:r>
          </w:p>
        </w:tc>
        <w:tc>
          <w:tcPr>
            <w:tcW w:w="398" w:type="pct"/>
            <w:vMerge w:val="restart"/>
            <w:tcBorders>
              <w:tl2br w:val="nil"/>
              <w:tr2bl w:val="nil"/>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312" w:lineRule="auto"/>
              <w:jc w:val="both"/>
              <w:textAlignment w:val="center"/>
              <w:rPr>
                <w:rFonts w:hint="eastAsia" w:ascii="仿宋_GB2312" w:hAnsi="仿宋_GB2312" w:eastAsia="仿宋_GB2312" w:cs="仿宋_GB2312"/>
                <w:i w:val="0"/>
                <w:iCs w:val="0"/>
                <w:color w:val="auto"/>
                <w:kern w:val="2"/>
                <w:sz w:val="21"/>
                <w:szCs w:val="21"/>
                <w:highlight w:val="none"/>
                <w:u w:val="none"/>
                <w:lang w:val="en-US" w:eastAsia="zh-CN" w:bidi="ar-SA"/>
              </w:rPr>
            </w:pPr>
            <w:r>
              <w:rPr>
                <w:rFonts w:hint="eastAsia" w:ascii="仿宋_GB2312" w:hAnsi="仿宋_GB2312" w:eastAsia="仿宋_GB2312" w:cs="仿宋_GB2312"/>
                <w:color w:val="auto"/>
                <w:sz w:val="21"/>
                <w:szCs w:val="21"/>
                <w:highlight w:val="none"/>
              </w:rPr>
              <w:t>应急演练</w:t>
            </w:r>
            <w:r>
              <w:rPr>
                <w:rFonts w:hint="eastAsia" w:ascii="仿宋_GB2312" w:hAnsi="仿宋_GB2312" w:eastAsia="仿宋_GB2312" w:cs="仿宋_GB2312"/>
                <w:color w:val="auto"/>
                <w:sz w:val="21"/>
                <w:szCs w:val="21"/>
                <w:highlight w:val="none"/>
                <w:lang w:val="en-US" w:eastAsia="zh-CN"/>
              </w:rPr>
              <w:t>服务</w:t>
            </w:r>
          </w:p>
          <w:p>
            <w:pPr>
              <w:keepNext w:val="0"/>
              <w:keepLines w:val="0"/>
              <w:pageBreakBefore w:val="0"/>
              <w:widowControl/>
              <w:suppressLineNumbers w:val="0"/>
              <w:kinsoku/>
              <w:wordWrap/>
              <w:overflowPunct/>
              <w:topLinePunct w:val="0"/>
              <w:autoSpaceDE/>
              <w:autoSpaceDN/>
              <w:bidi w:val="0"/>
              <w:adjustRightInd/>
              <w:snapToGrid/>
              <w:spacing w:line="312" w:lineRule="auto"/>
              <w:jc w:val="both"/>
              <w:textAlignment w:val="center"/>
              <w:rPr>
                <w:rFonts w:hint="eastAsia" w:ascii="仿宋_GB2312" w:hAnsi="仿宋_GB2312" w:eastAsia="仿宋_GB2312" w:cs="仿宋_GB2312"/>
                <w:i w:val="0"/>
                <w:iCs w:val="0"/>
                <w:color w:val="auto"/>
                <w:kern w:val="2"/>
                <w:sz w:val="21"/>
                <w:szCs w:val="21"/>
                <w:highlight w:val="none"/>
                <w:u w:val="none"/>
                <w:lang w:val="en-US" w:eastAsia="zh-CN" w:bidi="ar-SA"/>
              </w:rPr>
            </w:pPr>
          </w:p>
          <w:p>
            <w:pPr>
              <w:keepNext w:val="0"/>
              <w:keepLines w:val="0"/>
              <w:pageBreakBefore w:val="0"/>
              <w:kinsoku/>
              <w:wordWrap/>
              <w:overflowPunct/>
              <w:topLinePunct w:val="0"/>
              <w:autoSpaceDE/>
              <w:autoSpaceDN/>
              <w:bidi w:val="0"/>
              <w:adjustRightInd/>
              <w:snapToGrid/>
              <w:spacing w:line="312" w:lineRule="auto"/>
              <w:ind w:left="-2" w:leftChars="-1"/>
              <w:jc w:val="both"/>
              <w:rPr>
                <w:rFonts w:hint="eastAsia" w:ascii="仿宋_GB2312" w:hAnsi="仿宋_GB2312" w:eastAsia="仿宋_GB2312" w:cs="仿宋_GB2312"/>
                <w:color w:val="auto"/>
                <w:kern w:val="2"/>
                <w:sz w:val="21"/>
                <w:szCs w:val="21"/>
                <w:highlight w:val="none"/>
                <w:lang w:val="en-US" w:eastAsia="zh-CN" w:bidi="ar-SA"/>
              </w:rPr>
            </w:pPr>
          </w:p>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sz w:val="21"/>
                <w:szCs w:val="21"/>
                <w:lang w:val="en-US" w:eastAsia="zh-CN"/>
              </w:rPr>
            </w:pPr>
          </w:p>
        </w:tc>
        <w:tc>
          <w:tcPr>
            <w:tcW w:w="306" w:type="pct"/>
            <w:tcBorders>
              <w:tl2br w:val="nil"/>
              <w:tr2bl w:val="nil"/>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312" w:lineRule="auto"/>
              <w:jc w:val="both"/>
              <w:textAlignment w:val="center"/>
              <w:rPr>
                <w:rFonts w:hint="eastAsia" w:ascii="仿宋_GB2312" w:hAnsi="仿宋_GB2312" w:eastAsia="仿宋_GB2312" w:cs="仿宋_GB2312"/>
                <w:i w:val="0"/>
                <w:iCs w:val="0"/>
                <w:color w:val="auto"/>
                <w:kern w:val="2"/>
                <w:sz w:val="21"/>
                <w:szCs w:val="21"/>
                <w:highlight w:val="none"/>
                <w:u w:val="none"/>
                <w:lang w:val="en-US" w:eastAsia="zh-CN" w:bidi="ar-SA"/>
              </w:rPr>
            </w:pPr>
            <w:r>
              <w:rPr>
                <w:rFonts w:hint="eastAsia" w:ascii="仿宋_GB2312" w:hAnsi="仿宋_GB2312" w:eastAsia="仿宋_GB2312" w:cs="仿宋_GB2312"/>
                <w:i w:val="0"/>
                <w:iCs w:val="0"/>
                <w:color w:val="auto"/>
                <w:kern w:val="0"/>
                <w:sz w:val="21"/>
                <w:szCs w:val="21"/>
                <w:highlight w:val="none"/>
                <w:u w:val="none"/>
                <w:lang w:val="en-US" w:eastAsia="zh-CN" w:bidi="ar"/>
              </w:rPr>
              <w:t>红方检测服务</w:t>
            </w:r>
          </w:p>
        </w:tc>
        <w:tc>
          <w:tcPr>
            <w:tcW w:w="2851" w:type="pct"/>
            <w:tcBorders>
              <w:tl2br w:val="nil"/>
              <w:tr2bl w:val="nil"/>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312" w:lineRule="auto"/>
              <w:jc w:val="both"/>
              <w:textAlignment w:val="center"/>
              <w:rPr>
                <w:rFonts w:hint="eastAsia" w:ascii="仿宋_GB2312" w:hAnsi="仿宋_GB2312" w:eastAsia="仿宋_GB2312" w:cs="仿宋_GB2312"/>
                <w:i w:val="0"/>
                <w:iCs w:val="0"/>
                <w:color w:val="auto"/>
                <w:kern w:val="2"/>
                <w:sz w:val="21"/>
                <w:szCs w:val="21"/>
                <w:highlight w:val="none"/>
                <w:u w:val="none"/>
                <w:lang w:val="en-US" w:eastAsia="zh-CN" w:bidi="ar-SA"/>
              </w:rPr>
            </w:pPr>
            <w:r>
              <w:rPr>
                <w:rFonts w:hint="eastAsia" w:ascii="仿宋_GB2312" w:hAnsi="仿宋_GB2312" w:eastAsia="仿宋_GB2312" w:cs="仿宋_GB2312"/>
                <w:i w:val="0"/>
                <w:iCs w:val="0"/>
                <w:color w:val="auto"/>
                <w:kern w:val="0"/>
                <w:sz w:val="21"/>
                <w:szCs w:val="21"/>
                <w:highlight w:val="none"/>
                <w:u w:val="none"/>
                <w:lang w:val="en-US" w:eastAsia="zh-CN" w:bidi="ar"/>
              </w:rPr>
              <w:t>通过专业渗透工程师组成红方【红队检测】，针对目标系统、软件、硬件和设备同时执行的多混合、基于对抗性的模拟攻击，以此来发现系统、技术和基础架构中存在的隐患。用尽可能接近真实环境攻击的方法来模拟黑客APT攻击，发现可能被黑客利用的安全漏洞，以此对目标网络安全状况进行评估，并出具成果报告：《铜仁幼儿师范高等专科学校渗透评估报告》、《铜仁幼儿师范高等专科学校渗透评估复测报告》。其中红方【红队检测】应具备信息安全风险评估服务能力，获得CCRC信息安全风险评估认证证书、工程师具备国家注册渗透测试专家认证、国家注册渗透测试工程师认证。</w:t>
            </w:r>
          </w:p>
        </w:tc>
        <w:tc>
          <w:tcPr>
            <w:tcW w:w="653" w:type="pct"/>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snapToGrid/>
              <w:spacing w:line="312" w:lineRule="auto"/>
              <w:jc w:val="both"/>
              <w:rPr>
                <w:rFonts w:hint="eastAsia" w:ascii="仿宋_GB2312" w:hAnsi="仿宋_GB2312" w:eastAsia="仿宋_GB2312" w:cs="仿宋_GB2312"/>
                <w:color w:val="auto"/>
                <w:kern w:val="2"/>
                <w:sz w:val="21"/>
                <w:szCs w:val="21"/>
                <w:highlight w:val="none"/>
                <w:lang w:val="en-US" w:eastAsia="zh-CN" w:bidi="ar-SA"/>
              </w:rPr>
            </w:pPr>
            <w:r>
              <w:rPr>
                <w:rFonts w:hint="eastAsia" w:ascii="仿宋_GB2312" w:hAnsi="仿宋_GB2312" w:eastAsia="仿宋_GB2312" w:cs="仿宋_GB2312"/>
                <w:i w:val="0"/>
                <w:iCs w:val="0"/>
                <w:color w:val="auto"/>
                <w:kern w:val="0"/>
                <w:sz w:val="21"/>
                <w:szCs w:val="21"/>
                <w:highlight w:val="none"/>
                <w:u w:val="none"/>
                <w:lang w:val="en-US" w:eastAsia="zh-CN" w:bidi="ar"/>
              </w:rPr>
              <w:t>2次/2年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926" w:hRule="atLeast"/>
          <w:jc w:val="center"/>
        </w:trPr>
        <w:tc>
          <w:tcPr>
            <w:tcW w:w="392" w:type="pct"/>
            <w:vMerge w:val="continue"/>
            <w:tcBorders>
              <w:tl2br w:val="nil"/>
              <w:tr2bl w:val="nil"/>
            </w:tcBorders>
            <w:shd w:val="clear" w:color="auto" w:fill="auto"/>
            <w:vAlign w:val="top"/>
          </w:tcPr>
          <w:p>
            <w:pPr>
              <w:keepNext w:val="0"/>
              <w:keepLines w:val="0"/>
              <w:pageBreakBefore w:val="0"/>
              <w:widowControl/>
              <w:suppressLineNumbers w:val="0"/>
              <w:tabs>
                <w:tab w:val="left" w:pos="630"/>
              </w:tabs>
              <w:kinsoku/>
              <w:wordWrap/>
              <w:overflowPunct/>
              <w:topLinePunct w:val="0"/>
              <w:autoSpaceDE/>
              <w:autoSpaceDN/>
              <w:bidi w:val="0"/>
              <w:adjustRightInd/>
              <w:snapToGrid/>
              <w:spacing w:line="312" w:lineRule="auto"/>
              <w:ind w:left="425" w:leftChars="0" w:right="357" w:rightChars="170" w:hanging="425" w:firstLineChars="0"/>
              <w:jc w:val="both"/>
              <w:textAlignment w:val="center"/>
              <w:rPr>
                <w:rFonts w:hint="eastAsia" w:ascii="仿宋_GB2312" w:hAnsi="仿宋_GB2312" w:eastAsia="仿宋_GB2312" w:cs="仿宋_GB2312"/>
                <w:i w:val="0"/>
                <w:iCs w:val="0"/>
                <w:color w:val="auto"/>
                <w:kern w:val="2"/>
                <w:sz w:val="21"/>
                <w:szCs w:val="21"/>
                <w:highlight w:val="none"/>
                <w:u w:val="none"/>
                <w:lang w:val="en-US" w:eastAsia="zh-CN" w:bidi="ar-SA"/>
              </w:rPr>
            </w:pPr>
          </w:p>
        </w:tc>
        <w:tc>
          <w:tcPr>
            <w:tcW w:w="398" w:type="pct"/>
            <w:vMerge w:val="continue"/>
            <w:tcBorders>
              <w:tl2br w:val="nil"/>
              <w:tr2bl w:val="nil"/>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312" w:lineRule="auto"/>
              <w:jc w:val="both"/>
              <w:textAlignment w:val="center"/>
              <w:rPr>
                <w:rFonts w:hint="eastAsia" w:ascii="仿宋_GB2312" w:hAnsi="仿宋_GB2312" w:eastAsia="仿宋_GB2312" w:cs="仿宋_GB2312"/>
                <w:color w:val="auto"/>
                <w:sz w:val="21"/>
                <w:szCs w:val="21"/>
                <w:highlight w:val="none"/>
                <w:lang w:val="en-US" w:eastAsia="zh-CN"/>
              </w:rPr>
            </w:pPr>
          </w:p>
        </w:tc>
        <w:tc>
          <w:tcPr>
            <w:tcW w:w="398" w:type="pct"/>
            <w:vMerge w:val="continue"/>
            <w:tcBorders>
              <w:tl2br w:val="nil"/>
              <w:tr2bl w:val="nil"/>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sz w:val="21"/>
                <w:szCs w:val="21"/>
                <w:lang w:val="en-US" w:eastAsia="zh-CN"/>
              </w:rPr>
            </w:pPr>
          </w:p>
        </w:tc>
        <w:tc>
          <w:tcPr>
            <w:tcW w:w="306" w:type="pct"/>
            <w:tcBorders>
              <w:tl2br w:val="nil"/>
              <w:tr2bl w:val="nil"/>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312" w:lineRule="auto"/>
              <w:jc w:val="both"/>
              <w:textAlignment w:val="center"/>
              <w:rPr>
                <w:rFonts w:hint="eastAsia" w:ascii="仿宋_GB2312" w:hAnsi="仿宋_GB2312" w:eastAsia="仿宋_GB2312" w:cs="仿宋_GB2312"/>
                <w:i w:val="0"/>
                <w:iCs w:val="0"/>
                <w:color w:val="auto"/>
                <w:kern w:val="2"/>
                <w:sz w:val="21"/>
                <w:szCs w:val="21"/>
                <w:highlight w:val="none"/>
                <w:u w:val="none"/>
                <w:lang w:val="en-US" w:eastAsia="zh-CN" w:bidi="ar-SA"/>
              </w:rPr>
            </w:pPr>
            <w:r>
              <w:rPr>
                <w:rFonts w:hint="eastAsia" w:ascii="仿宋_GB2312" w:hAnsi="仿宋_GB2312" w:eastAsia="仿宋_GB2312" w:cs="仿宋_GB2312"/>
                <w:i w:val="0"/>
                <w:iCs w:val="0"/>
                <w:color w:val="auto"/>
                <w:kern w:val="0"/>
                <w:sz w:val="21"/>
                <w:szCs w:val="21"/>
                <w:highlight w:val="none"/>
                <w:u w:val="none"/>
                <w:lang w:val="en-US" w:eastAsia="zh-CN" w:bidi="ar"/>
              </w:rPr>
              <w:t>蓝队应急服务</w:t>
            </w:r>
          </w:p>
        </w:tc>
        <w:tc>
          <w:tcPr>
            <w:tcW w:w="2851" w:type="pct"/>
            <w:tcBorders>
              <w:tl2br w:val="nil"/>
              <w:tr2bl w:val="nil"/>
            </w:tcBorders>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line="312" w:lineRule="auto"/>
              <w:ind w:left="0" w:leftChars="0" w:firstLine="0" w:firstLineChars="0"/>
              <w:jc w:val="both"/>
              <w:textAlignment w:val="center"/>
              <w:rPr>
                <w:rFonts w:hint="eastAsia" w:ascii="仿宋_GB2312" w:hAnsi="仿宋_GB2312" w:eastAsia="仿宋_GB2312" w:cs="仿宋_GB2312"/>
                <w:i w:val="0"/>
                <w:iCs w:val="0"/>
                <w:color w:val="auto"/>
                <w:kern w:val="2"/>
                <w:sz w:val="21"/>
                <w:szCs w:val="21"/>
                <w:highlight w:val="none"/>
                <w:u w:val="none"/>
                <w:lang w:val="en-US" w:eastAsia="zh-CN" w:bidi="ar-SA"/>
              </w:rPr>
            </w:pPr>
            <w:r>
              <w:rPr>
                <w:rFonts w:hint="eastAsia" w:ascii="仿宋_GB2312" w:hAnsi="仿宋_GB2312" w:eastAsia="仿宋_GB2312" w:cs="仿宋_GB2312"/>
                <w:i w:val="0"/>
                <w:iCs w:val="0"/>
                <w:color w:val="auto"/>
                <w:kern w:val="0"/>
                <w:sz w:val="21"/>
                <w:szCs w:val="21"/>
                <w:highlight w:val="none"/>
                <w:u w:val="none"/>
                <w:lang w:val="en-US" w:eastAsia="zh-CN" w:bidi="ar"/>
              </w:rPr>
              <w:t>通过资深的网络安全技术人员组成蓝方（应急方），提供应急支撑服务（第三方应急支撑服务）。在应急演练过程中，对学校提供重要时期安全保障服务。在重要时期为关键信息系统提供：组织架构设计、积极防御、实时检测、响应处置、攻击预测等安全服务，以提高学校的网络安全保障能力，保障应急演练活动的顺利进行，并出具成果报告：《铜仁幼儿师范高等专科学校应急支撑报告》，对红方渗透发现的漏洞和弱点进行修复，出具相应的整改报告包含但不限于整改方式与结果。蓝方【应急方】应具备信息安全应急处理服务能力，获得CCRC信息安全应急处理认证证书，工程师具备国家注册渗透测试专家认证、国家注册渗透测试工程师认证。</w:t>
            </w:r>
          </w:p>
        </w:tc>
        <w:tc>
          <w:tcPr>
            <w:tcW w:w="653" w:type="pct"/>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snapToGrid/>
              <w:spacing w:line="312" w:lineRule="auto"/>
              <w:jc w:val="both"/>
              <w:rPr>
                <w:rFonts w:hint="eastAsia" w:ascii="仿宋_GB2312" w:hAnsi="仿宋_GB2312" w:eastAsia="仿宋_GB2312" w:cs="仿宋_GB2312"/>
                <w:color w:val="auto"/>
                <w:kern w:val="2"/>
                <w:sz w:val="21"/>
                <w:szCs w:val="21"/>
                <w:highlight w:val="none"/>
                <w:lang w:val="en-US" w:eastAsia="zh-CN" w:bidi="ar-SA"/>
              </w:rPr>
            </w:pPr>
            <w:r>
              <w:rPr>
                <w:rFonts w:hint="eastAsia" w:ascii="仿宋_GB2312" w:hAnsi="仿宋_GB2312" w:eastAsia="仿宋_GB2312" w:cs="仿宋_GB2312"/>
                <w:i w:val="0"/>
                <w:iCs w:val="0"/>
                <w:color w:val="auto"/>
                <w:kern w:val="0"/>
                <w:sz w:val="21"/>
                <w:szCs w:val="21"/>
                <w:highlight w:val="none"/>
                <w:u w:val="none"/>
                <w:lang w:val="en-US" w:eastAsia="zh-CN" w:bidi="ar"/>
              </w:rPr>
              <w:t>2次/2年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686" w:hRule="atLeast"/>
          <w:jc w:val="center"/>
        </w:trPr>
        <w:tc>
          <w:tcPr>
            <w:tcW w:w="392" w:type="pct"/>
            <w:tcBorders>
              <w:tl2br w:val="nil"/>
              <w:tr2bl w:val="nil"/>
            </w:tcBorders>
            <w:shd w:val="clear" w:color="auto" w:fill="auto"/>
            <w:vAlign w:val="top"/>
          </w:tcPr>
          <w:p>
            <w:pPr>
              <w:keepNext w:val="0"/>
              <w:keepLines w:val="0"/>
              <w:pageBreakBefore w:val="0"/>
              <w:widowControl/>
              <w:numPr>
                <w:ilvl w:val="0"/>
                <w:numId w:val="4"/>
              </w:numPr>
              <w:suppressLineNumbers w:val="0"/>
              <w:tabs>
                <w:tab w:val="left" w:pos="630"/>
              </w:tabs>
              <w:kinsoku/>
              <w:wordWrap/>
              <w:overflowPunct/>
              <w:topLinePunct w:val="0"/>
              <w:autoSpaceDE/>
              <w:autoSpaceDN/>
              <w:bidi w:val="0"/>
              <w:adjustRightInd/>
              <w:snapToGrid/>
              <w:spacing w:line="312" w:lineRule="auto"/>
              <w:ind w:left="425" w:leftChars="0" w:right="357" w:rightChars="170" w:hanging="425" w:firstLineChars="0"/>
              <w:jc w:val="both"/>
              <w:textAlignment w:val="center"/>
              <w:rPr>
                <w:rFonts w:hint="eastAsia" w:ascii="仿宋_GB2312" w:hAnsi="仿宋_GB2312" w:eastAsia="仿宋_GB2312" w:cs="仿宋_GB2312"/>
                <w:i w:val="0"/>
                <w:iCs w:val="0"/>
                <w:color w:val="auto"/>
                <w:kern w:val="2"/>
                <w:sz w:val="21"/>
                <w:szCs w:val="21"/>
                <w:highlight w:val="none"/>
                <w:u w:val="none"/>
                <w:lang w:val="en-US" w:eastAsia="zh-CN" w:bidi="ar-SA"/>
              </w:rPr>
            </w:pPr>
          </w:p>
        </w:tc>
        <w:tc>
          <w:tcPr>
            <w:tcW w:w="398" w:type="pct"/>
            <w:vMerge w:val="continue"/>
            <w:tcBorders>
              <w:tl2br w:val="nil"/>
              <w:tr2bl w:val="nil"/>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312" w:lineRule="auto"/>
              <w:jc w:val="both"/>
              <w:textAlignment w:val="center"/>
              <w:rPr>
                <w:rFonts w:hint="eastAsia" w:ascii="仿宋_GB2312" w:hAnsi="仿宋_GB2312" w:eastAsia="仿宋_GB2312" w:cs="仿宋_GB2312"/>
                <w:color w:val="auto"/>
                <w:sz w:val="21"/>
                <w:szCs w:val="21"/>
                <w:highlight w:val="none"/>
                <w:lang w:val="en-US" w:eastAsia="zh-CN"/>
              </w:rPr>
            </w:pPr>
          </w:p>
        </w:tc>
        <w:tc>
          <w:tcPr>
            <w:tcW w:w="704" w:type="pct"/>
            <w:gridSpan w:val="2"/>
            <w:tcBorders>
              <w:tl2br w:val="nil"/>
              <w:tr2bl w:val="nil"/>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312" w:lineRule="auto"/>
              <w:jc w:val="both"/>
              <w:textAlignment w:val="center"/>
              <w:rPr>
                <w:rFonts w:hint="eastAsia" w:ascii="仿宋_GB2312" w:hAnsi="仿宋_GB2312" w:eastAsia="仿宋_GB2312" w:cs="仿宋_GB2312"/>
                <w:color w:val="auto"/>
                <w:kern w:val="2"/>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渗透测试服务</w:t>
            </w:r>
          </w:p>
        </w:tc>
        <w:tc>
          <w:tcPr>
            <w:tcW w:w="2851" w:type="pct"/>
            <w:tcBorders>
              <w:tl2br w:val="nil"/>
              <w:tr2bl w:val="nil"/>
            </w:tcBorders>
            <w:shd w:val="clear" w:color="auto" w:fill="auto"/>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12" w:lineRule="auto"/>
              <w:ind w:left="0" w:leftChars="0" w:firstLine="0" w:firstLineChars="0"/>
              <w:jc w:val="both"/>
              <w:textAlignment w:val="center"/>
              <w:rPr>
                <w:rFonts w:hint="eastAsia" w:ascii="仿宋_GB2312" w:hAnsi="仿宋_GB2312" w:eastAsia="仿宋_GB2312" w:cs="仿宋_GB2312"/>
                <w:color w:val="auto"/>
                <w:kern w:val="0"/>
                <w:sz w:val="21"/>
                <w:szCs w:val="21"/>
                <w:highlight w:val="none"/>
                <w:lang w:val="en-US" w:eastAsia="zh-CN" w:bidi="ar"/>
              </w:rPr>
            </w:pPr>
            <w:r>
              <w:rPr>
                <w:rFonts w:hint="eastAsia" w:ascii="仿宋_GB2312" w:hAnsi="仿宋_GB2312" w:eastAsia="仿宋_GB2312" w:cs="仿宋_GB2312"/>
                <w:color w:val="auto"/>
                <w:kern w:val="0"/>
                <w:sz w:val="21"/>
                <w:szCs w:val="21"/>
                <w:highlight w:val="none"/>
                <w:lang w:val="en-US" w:eastAsia="zh-CN" w:bidi="ar"/>
              </w:rPr>
              <w:t>渗透测试：模拟黑客的真实攻击方法对系统和网络进行非破坏性质的攻击性测试。对重要的业务系统，进行模拟黑客的安全渗透测试，对系统中存在的安全漏洞进行准确查找，同时利用渗透性技术检测，发现应用系统未知的漏洞和安全隐患（包含但不限于：弱口令、本地权限提升、远程溢出、数据库查询等），并出具渗透测试报告及修复整改建议。同时在学校方修复漏洞后，对漏洞修复情况进行回归性测试。相对其他服务而言，渗透测试是一种对测试人员技术能力要求较高的纯技术服务，要求渗透测试人员有丰富的渗透经验及新颖的渗透思路。服务商安全团队有国家注册渗透测试专家，国家注册渗透测试工程师，高级网络安全管理师，拥有CISP、CCSC相应持证人员。服务过高校、医疗、政府、企业、能源等多个行业，有相当丰富的渗透测试经验，能从专业的角度执行标准化的测试工作，对渗透测试报告进行专业的解读，并提供相应的修复建议，协助学校有效提升网络安全能力。</w:t>
            </w:r>
          </w:p>
        </w:tc>
        <w:tc>
          <w:tcPr>
            <w:tcW w:w="653" w:type="pct"/>
            <w:tcBorders>
              <w:tl2br w:val="nil"/>
              <w:tr2bl w:val="nil"/>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312" w:lineRule="auto"/>
              <w:jc w:val="both"/>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kern w:val="2"/>
                <w:sz w:val="21"/>
                <w:szCs w:val="21"/>
                <w:lang w:val="en-US" w:eastAsia="zh-CN" w:bidi="ar-SA"/>
              </w:rPr>
              <w:t>4次/2年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686" w:hRule="atLeast"/>
          <w:jc w:val="center"/>
        </w:trPr>
        <w:tc>
          <w:tcPr>
            <w:tcW w:w="392" w:type="pct"/>
            <w:tcBorders>
              <w:tl2br w:val="nil"/>
              <w:tr2bl w:val="nil"/>
            </w:tcBorders>
            <w:shd w:val="clear" w:color="auto" w:fill="auto"/>
            <w:vAlign w:val="top"/>
          </w:tcPr>
          <w:p>
            <w:pPr>
              <w:keepNext w:val="0"/>
              <w:keepLines w:val="0"/>
              <w:pageBreakBefore w:val="0"/>
              <w:widowControl/>
              <w:numPr>
                <w:ilvl w:val="0"/>
                <w:numId w:val="4"/>
              </w:numPr>
              <w:suppressLineNumbers w:val="0"/>
              <w:tabs>
                <w:tab w:val="left" w:pos="630"/>
              </w:tabs>
              <w:kinsoku/>
              <w:wordWrap/>
              <w:overflowPunct/>
              <w:topLinePunct w:val="0"/>
              <w:autoSpaceDE/>
              <w:autoSpaceDN/>
              <w:bidi w:val="0"/>
              <w:adjustRightInd/>
              <w:snapToGrid/>
              <w:spacing w:line="312" w:lineRule="auto"/>
              <w:ind w:left="425" w:leftChars="0" w:right="357" w:rightChars="170" w:hanging="425" w:firstLineChars="0"/>
              <w:jc w:val="both"/>
              <w:textAlignment w:val="center"/>
              <w:rPr>
                <w:rFonts w:hint="eastAsia" w:ascii="仿宋_GB2312" w:hAnsi="仿宋_GB2312" w:eastAsia="仿宋_GB2312" w:cs="仿宋_GB2312"/>
                <w:i w:val="0"/>
                <w:iCs w:val="0"/>
                <w:color w:val="auto"/>
                <w:kern w:val="2"/>
                <w:sz w:val="21"/>
                <w:szCs w:val="21"/>
                <w:highlight w:val="none"/>
                <w:u w:val="none"/>
                <w:lang w:val="en-US" w:eastAsia="zh-CN" w:bidi="ar-SA"/>
              </w:rPr>
            </w:pPr>
          </w:p>
        </w:tc>
        <w:tc>
          <w:tcPr>
            <w:tcW w:w="398" w:type="pct"/>
            <w:vMerge w:val="continue"/>
            <w:tcBorders>
              <w:tl2br w:val="nil"/>
              <w:tr2bl w:val="nil"/>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312" w:lineRule="auto"/>
              <w:jc w:val="both"/>
              <w:textAlignment w:val="center"/>
              <w:rPr>
                <w:rFonts w:hint="eastAsia" w:ascii="仿宋_GB2312" w:hAnsi="仿宋_GB2312" w:eastAsia="仿宋_GB2312" w:cs="仿宋_GB2312"/>
                <w:color w:val="auto"/>
                <w:sz w:val="21"/>
                <w:szCs w:val="21"/>
                <w:highlight w:val="none"/>
                <w:lang w:val="en-US" w:eastAsia="zh-CN"/>
              </w:rPr>
            </w:pPr>
          </w:p>
        </w:tc>
        <w:tc>
          <w:tcPr>
            <w:tcW w:w="704" w:type="pct"/>
            <w:gridSpan w:val="2"/>
            <w:tcBorders>
              <w:tl2br w:val="nil"/>
              <w:tr2bl w:val="nil"/>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sz w:val="21"/>
                <w:szCs w:val="21"/>
                <w:lang w:val="en-US" w:eastAsia="zh-CN"/>
              </w:rPr>
              <w:t>安全巡检</w:t>
            </w:r>
          </w:p>
        </w:tc>
        <w:tc>
          <w:tcPr>
            <w:tcW w:w="2851" w:type="pct"/>
            <w:tcBorders>
              <w:tl2br w:val="nil"/>
              <w:tr2bl w:val="nil"/>
            </w:tcBorders>
            <w:shd w:val="clear" w:color="auto" w:fill="auto"/>
            <w:vAlign w:val="top"/>
          </w:tcPr>
          <w:p>
            <w:pPr>
              <w:jc w:val="both"/>
              <w:rPr>
                <w:rFonts w:hint="eastAsia" w:ascii="仿宋_GB2312" w:hAnsi="仿宋_GB2312" w:eastAsia="仿宋_GB2312" w:cs="仿宋_GB2312"/>
                <w:sz w:val="21"/>
                <w:szCs w:val="21"/>
              </w:rPr>
            </w:pPr>
            <w:r>
              <w:rPr>
                <w:rFonts w:hint="eastAsia" w:ascii="仿宋_GB2312" w:hAnsi="仿宋_GB2312" w:eastAsia="仿宋_GB2312" w:cs="仿宋_GB2312"/>
              </w:rPr>
              <w:tab/>
            </w:r>
            <w:r>
              <w:rPr>
                <w:rFonts w:hint="eastAsia" w:ascii="仿宋_GB2312" w:hAnsi="仿宋_GB2312" w:eastAsia="仿宋_GB2312" w:cs="仿宋_GB2312"/>
                <w:sz w:val="21"/>
                <w:szCs w:val="21"/>
              </w:rPr>
              <w:t>每月一次。</w:t>
            </w:r>
          </w:p>
          <w:p>
            <w:pPr>
              <w:jc w:val="both"/>
              <w:rPr>
                <w:rFonts w:hint="eastAsia" w:ascii="仿宋_GB2312" w:hAnsi="仿宋_GB2312" w:eastAsia="仿宋_GB2312" w:cs="仿宋_GB2312"/>
                <w:color w:val="auto"/>
                <w:kern w:val="0"/>
                <w:sz w:val="21"/>
                <w:szCs w:val="21"/>
                <w:highlight w:val="none"/>
                <w:lang w:val="en-US" w:eastAsia="zh-CN" w:bidi="ar"/>
              </w:rPr>
            </w:pPr>
            <w:r>
              <w:rPr>
                <w:rFonts w:hint="eastAsia" w:ascii="仿宋_GB2312" w:hAnsi="仿宋_GB2312" w:eastAsia="仿宋_GB2312" w:cs="仿宋_GB2312"/>
                <w:sz w:val="21"/>
                <w:szCs w:val="21"/>
              </w:rPr>
              <w:tab/>
            </w:r>
            <w:r>
              <w:rPr>
                <w:rFonts w:hint="eastAsia" w:ascii="仿宋_GB2312" w:hAnsi="仿宋_GB2312" w:eastAsia="仿宋_GB2312" w:cs="仿宋_GB2312"/>
                <w:sz w:val="21"/>
                <w:szCs w:val="21"/>
              </w:rPr>
              <w:t>对</w:t>
            </w:r>
            <w:r>
              <w:rPr>
                <w:rFonts w:hint="eastAsia" w:ascii="仿宋_GB2312" w:hAnsi="仿宋_GB2312" w:eastAsia="仿宋_GB2312" w:cs="仿宋_GB2312"/>
                <w:sz w:val="21"/>
                <w:szCs w:val="21"/>
                <w:lang w:val="en-US" w:eastAsia="zh-CN"/>
              </w:rPr>
              <w:t>学校</w:t>
            </w:r>
            <w:r>
              <w:rPr>
                <w:rFonts w:hint="eastAsia" w:ascii="仿宋_GB2312" w:hAnsi="仿宋_GB2312" w:eastAsia="仿宋_GB2312" w:cs="仿宋_GB2312"/>
                <w:sz w:val="21"/>
                <w:szCs w:val="21"/>
              </w:rPr>
              <w:t>所有网络信息资产进行例行的安全检查，发现问题及时协调修复，并且出具相应《巡检报告》。要求运维服务商应具备信息系统建设和服务能力认证、ITSS运行维护认证</w:t>
            </w:r>
            <w:r>
              <w:rPr>
                <w:rFonts w:hint="eastAsia" w:ascii="仿宋_GB2312" w:hAnsi="仿宋_GB2312" w:eastAsia="仿宋_GB2312" w:cs="仿宋_GB2312"/>
                <w:sz w:val="21"/>
                <w:szCs w:val="21"/>
                <w:lang w:eastAsia="zh-CN"/>
              </w:rPr>
              <w:t>。</w:t>
            </w:r>
          </w:p>
        </w:tc>
        <w:tc>
          <w:tcPr>
            <w:tcW w:w="653" w:type="pct"/>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snapToGrid/>
              <w:spacing w:line="312" w:lineRule="auto"/>
              <w:jc w:val="both"/>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kern w:val="2"/>
                <w:sz w:val="21"/>
                <w:szCs w:val="21"/>
                <w:lang w:val="en-US" w:eastAsia="zh-CN" w:bidi="ar-SA"/>
              </w:rPr>
              <w:t>24次/2年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249" w:hRule="atLeast"/>
          <w:jc w:val="center"/>
        </w:trPr>
        <w:tc>
          <w:tcPr>
            <w:tcW w:w="392" w:type="pct"/>
            <w:tcBorders>
              <w:tl2br w:val="nil"/>
              <w:tr2bl w:val="nil"/>
            </w:tcBorders>
            <w:shd w:val="clear" w:color="auto" w:fill="auto"/>
            <w:vAlign w:val="top"/>
          </w:tcPr>
          <w:p>
            <w:pPr>
              <w:keepNext w:val="0"/>
              <w:keepLines w:val="0"/>
              <w:pageBreakBefore w:val="0"/>
              <w:widowControl/>
              <w:numPr>
                <w:ilvl w:val="0"/>
                <w:numId w:val="4"/>
              </w:numPr>
              <w:suppressLineNumbers w:val="0"/>
              <w:tabs>
                <w:tab w:val="left" w:pos="630"/>
              </w:tabs>
              <w:kinsoku/>
              <w:wordWrap/>
              <w:overflowPunct/>
              <w:topLinePunct w:val="0"/>
              <w:autoSpaceDE/>
              <w:autoSpaceDN/>
              <w:bidi w:val="0"/>
              <w:adjustRightInd/>
              <w:snapToGrid/>
              <w:spacing w:line="312" w:lineRule="auto"/>
              <w:ind w:left="425" w:leftChars="0" w:right="357" w:rightChars="170" w:hanging="425" w:firstLineChars="0"/>
              <w:jc w:val="both"/>
              <w:textAlignment w:val="center"/>
              <w:rPr>
                <w:rFonts w:hint="eastAsia" w:ascii="仿宋_GB2312" w:hAnsi="仿宋_GB2312" w:eastAsia="仿宋_GB2312" w:cs="仿宋_GB2312"/>
                <w:i w:val="0"/>
                <w:iCs w:val="0"/>
                <w:color w:val="auto"/>
                <w:kern w:val="2"/>
                <w:sz w:val="21"/>
                <w:szCs w:val="21"/>
                <w:highlight w:val="none"/>
                <w:u w:val="none"/>
                <w:lang w:val="en-US" w:eastAsia="zh-CN" w:bidi="ar-SA"/>
              </w:rPr>
            </w:pPr>
          </w:p>
        </w:tc>
        <w:tc>
          <w:tcPr>
            <w:tcW w:w="398" w:type="pct"/>
            <w:vMerge w:val="continue"/>
            <w:tcBorders>
              <w:tl2br w:val="nil"/>
              <w:tr2bl w:val="nil"/>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312" w:lineRule="auto"/>
              <w:jc w:val="both"/>
              <w:textAlignment w:val="center"/>
              <w:rPr>
                <w:rFonts w:hint="eastAsia" w:ascii="仿宋_GB2312" w:hAnsi="仿宋_GB2312" w:eastAsia="仿宋_GB2312" w:cs="仿宋_GB2312"/>
                <w:color w:val="auto"/>
                <w:sz w:val="21"/>
                <w:szCs w:val="21"/>
                <w:highlight w:val="none"/>
                <w:lang w:val="en-US" w:eastAsia="zh-CN"/>
              </w:rPr>
            </w:pPr>
          </w:p>
        </w:tc>
        <w:tc>
          <w:tcPr>
            <w:tcW w:w="704" w:type="pct"/>
            <w:gridSpan w:val="2"/>
            <w:tcBorders>
              <w:tl2br w:val="nil"/>
              <w:tr2bl w:val="nil"/>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312" w:lineRule="auto"/>
              <w:jc w:val="both"/>
              <w:textAlignment w:val="center"/>
              <w:rPr>
                <w:rFonts w:hint="eastAsia" w:ascii="仿宋_GB2312" w:hAnsi="仿宋_GB2312" w:eastAsia="仿宋_GB2312" w:cs="仿宋_GB2312"/>
                <w:color w:val="auto"/>
                <w:kern w:val="2"/>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基线及漏扫服务</w:t>
            </w:r>
          </w:p>
        </w:tc>
        <w:tc>
          <w:tcPr>
            <w:tcW w:w="2851" w:type="pct"/>
            <w:tcBorders>
              <w:tl2br w:val="nil"/>
              <w:tr2bl w:val="nil"/>
            </w:tcBorders>
            <w:shd w:val="clear" w:color="auto" w:fill="auto"/>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12" w:lineRule="auto"/>
              <w:ind w:left="0" w:leftChars="0" w:firstLine="0" w:firstLineChars="0"/>
              <w:jc w:val="both"/>
              <w:textAlignment w:val="center"/>
              <w:rPr>
                <w:rFonts w:hint="eastAsia" w:ascii="仿宋_GB2312" w:hAnsi="仿宋_GB2312" w:eastAsia="仿宋_GB2312" w:cs="仿宋_GB2312"/>
                <w:color w:val="auto"/>
                <w:kern w:val="0"/>
                <w:sz w:val="21"/>
                <w:szCs w:val="21"/>
                <w:highlight w:val="none"/>
                <w:lang w:val="en-US" w:eastAsia="zh-CN" w:bidi="ar"/>
              </w:rPr>
            </w:pPr>
            <w:r>
              <w:rPr>
                <w:rFonts w:hint="eastAsia" w:ascii="仿宋_GB2312" w:hAnsi="仿宋_GB2312" w:eastAsia="仿宋_GB2312" w:cs="仿宋_GB2312"/>
                <w:color w:val="auto"/>
                <w:kern w:val="0"/>
                <w:sz w:val="21"/>
                <w:szCs w:val="21"/>
                <w:highlight w:val="none"/>
                <w:lang w:val="en-US" w:eastAsia="zh-CN" w:bidi="ar"/>
              </w:rPr>
              <w:t>基线及漏扫：利用合法合规的安全扫描工具对现有网络系统的服务器、网络设备、数据库、应用软件进行漏洞探测，对扫描结果进行人工验证，评估安全漏洞的危害程度及被威胁利用难易程度。服务成果文档包含但不限于《漏洞扫描报告》、《基线扫描报告》；服务商应具备信息安全风险评估服务能力，获得CCRC信息安全风险评估认证证书，服务工程师具备国家注册渗透测试专家认证、国家注册渗透测试工程师认证。</w:t>
            </w:r>
          </w:p>
        </w:tc>
        <w:tc>
          <w:tcPr>
            <w:tcW w:w="653" w:type="pct"/>
            <w:tcBorders>
              <w:tl2br w:val="nil"/>
              <w:tr2bl w:val="nil"/>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312" w:lineRule="auto"/>
              <w:jc w:val="both"/>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kern w:val="2"/>
                <w:sz w:val="21"/>
                <w:szCs w:val="21"/>
                <w:lang w:val="en-US" w:eastAsia="zh-CN" w:bidi="ar-SA"/>
              </w:rPr>
              <w:t>8次/2年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49" w:hRule="atLeast"/>
          <w:jc w:val="center"/>
        </w:trPr>
        <w:tc>
          <w:tcPr>
            <w:tcW w:w="392" w:type="pct"/>
            <w:vMerge w:val="restart"/>
            <w:tcBorders>
              <w:tl2br w:val="nil"/>
              <w:tr2bl w:val="nil"/>
            </w:tcBorders>
            <w:shd w:val="clear" w:color="auto" w:fill="auto"/>
            <w:vAlign w:val="top"/>
          </w:tcPr>
          <w:p>
            <w:pPr>
              <w:keepNext w:val="0"/>
              <w:keepLines w:val="0"/>
              <w:pageBreakBefore w:val="0"/>
              <w:widowControl/>
              <w:numPr>
                <w:ilvl w:val="0"/>
                <w:numId w:val="4"/>
              </w:numPr>
              <w:suppressLineNumbers w:val="0"/>
              <w:tabs>
                <w:tab w:val="left" w:pos="630"/>
              </w:tabs>
              <w:kinsoku/>
              <w:wordWrap/>
              <w:overflowPunct/>
              <w:topLinePunct w:val="0"/>
              <w:autoSpaceDE/>
              <w:autoSpaceDN/>
              <w:bidi w:val="0"/>
              <w:adjustRightInd/>
              <w:snapToGrid/>
              <w:spacing w:line="312" w:lineRule="auto"/>
              <w:ind w:left="425" w:leftChars="0" w:right="357" w:rightChars="170" w:hanging="425" w:firstLineChars="0"/>
              <w:jc w:val="both"/>
              <w:textAlignment w:val="center"/>
              <w:rPr>
                <w:rFonts w:hint="eastAsia" w:ascii="仿宋_GB2312" w:hAnsi="仿宋_GB2312" w:eastAsia="仿宋_GB2312" w:cs="仿宋_GB2312"/>
                <w:i w:val="0"/>
                <w:iCs w:val="0"/>
                <w:color w:val="auto"/>
                <w:kern w:val="2"/>
                <w:sz w:val="21"/>
                <w:szCs w:val="21"/>
                <w:highlight w:val="none"/>
                <w:u w:val="none"/>
                <w:lang w:val="en-US" w:eastAsia="zh-CN" w:bidi="ar-SA"/>
              </w:rPr>
            </w:pPr>
          </w:p>
        </w:tc>
        <w:tc>
          <w:tcPr>
            <w:tcW w:w="398" w:type="pct"/>
            <w:vMerge w:val="continue"/>
            <w:tcBorders>
              <w:tl2br w:val="nil"/>
              <w:tr2bl w:val="nil"/>
            </w:tcBorders>
            <w:shd w:val="clear" w:color="auto" w:fill="auto"/>
            <w:vAlign w:val="top"/>
          </w:tcPr>
          <w:p>
            <w:pPr>
              <w:keepNext w:val="0"/>
              <w:keepLines w:val="0"/>
              <w:pageBreakBefore w:val="0"/>
              <w:kinsoku/>
              <w:wordWrap/>
              <w:overflowPunct/>
              <w:topLinePunct w:val="0"/>
              <w:autoSpaceDE/>
              <w:autoSpaceDN/>
              <w:bidi w:val="0"/>
              <w:adjustRightInd/>
              <w:snapToGrid/>
              <w:spacing w:line="312" w:lineRule="auto"/>
              <w:ind w:left="-2" w:leftChars="-1"/>
              <w:jc w:val="both"/>
              <w:rPr>
                <w:rFonts w:hint="eastAsia" w:ascii="仿宋_GB2312" w:hAnsi="仿宋_GB2312" w:eastAsia="仿宋_GB2312" w:cs="仿宋_GB2312"/>
                <w:color w:val="auto"/>
                <w:sz w:val="21"/>
                <w:szCs w:val="21"/>
                <w:highlight w:val="none"/>
              </w:rPr>
            </w:pPr>
          </w:p>
        </w:tc>
        <w:tc>
          <w:tcPr>
            <w:tcW w:w="398" w:type="pct"/>
            <w:vMerge w:val="restart"/>
            <w:tcBorders>
              <w:tl2br w:val="nil"/>
              <w:tr2bl w:val="nil"/>
            </w:tcBorders>
            <w:shd w:val="clear" w:color="auto" w:fill="auto"/>
            <w:vAlign w:val="top"/>
          </w:tcPr>
          <w:p>
            <w:pPr>
              <w:keepNext w:val="0"/>
              <w:keepLines w:val="0"/>
              <w:pageBreakBefore w:val="0"/>
              <w:kinsoku/>
              <w:wordWrap/>
              <w:overflowPunct/>
              <w:topLinePunct w:val="0"/>
              <w:autoSpaceDE/>
              <w:autoSpaceDN/>
              <w:bidi w:val="0"/>
              <w:adjustRightInd/>
              <w:snapToGrid/>
              <w:spacing w:line="312" w:lineRule="auto"/>
              <w:jc w:val="both"/>
              <w:rPr>
                <w:rFonts w:hint="eastAsia" w:ascii="仿宋_GB2312" w:hAnsi="仿宋_GB2312" w:eastAsia="仿宋_GB2312" w:cs="仿宋_GB2312"/>
                <w:color w:val="auto"/>
                <w:kern w:val="2"/>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网络安全培训培训服务</w:t>
            </w:r>
          </w:p>
        </w:tc>
        <w:tc>
          <w:tcPr>
            <w:tcW w:w="306" w:type="pct"/>
            <w:tcBorders>
              <w:tl2br w:val="nil"/>
              <w:tr2bl w:val="nil"/>
            </w:tcBorders>
            <w:shd w:val="clear" w:color="auto" w:fill="auto"/>
            <w:vAlign w:val="top"/>
          </w:tcPr>
          <w:p>
            <w:pPr>
              <w:keepNext w:val="0"/>
              <w:keepLines w:val="0"/>
              <w:pageBreakBefore w:val="0"/>
              <w:kinsoku/>
              <w:wordWrap/>
              <w:overflowPunct/>
              <w:topLinePunct w:val="0"/>
              <w:autoSpaceDE/>
              <w:autoSpaceDN/>
              <w:bidi w:val="0"/>
              <w:adjustRightInd/>
              <w:snapToGrid/>
              <w:spacing w:line="312" w:lineRule="auto"/>
              <w:ind w:left="-2" w:leftChars="-1"/>
              <w:jc w:val="both"/>
              <w:rPr>
                <w:rFonts w:hint="eastAsia" w:ascii="仿宋_GB2312" w:hAnsi="仿宋_GB2312" w:eastAsia="仿宋_GB2312" w:cs="仿宋_GB2312"/>
                <w:i w:val="0"/>
                <w:iCs w:val="0"/>
                <w:color w:val="auto"/>
                <w:kern w:val="2"/>
                <w:sz w:val="21"/>
                <w:szCs w:val="21"/>
                <w:highlight w:val="none"/>
                <w:u w:val="none"/>
                <w:lang w:val="en-US" w:eastAsia="zh-CN" w:bidi="ar-SA"/>
              </w:rPr>
            </w:pPr>
            <w:r>
              <w:rPr>
                <w:rFonts w:hint="eastAsia" w:ascii="仿宋_GB2312" w:hAnsi="仿宋_GB2312" w:eastAsia="仿宋_GB2312" w:cs="仿宋_GB2312"/>
                <w:color w:val="auto"/>
                <w:sz w:val="21"/>
                <w:szCs w:val="21"/>
                <w:highlight w:val="none"/>
                <w:lang w:val="en-US" w:eastAsia="zh-CN"/>
              </w:rPr>
              <w:t>安全意识培训</w:t>
            </w:r>
          </w:p>
        </w:tc>
        <w:tc>
          <w:tcPr>
            <w:tcW w:w="2851" w:type="pct"/>
            <w:tcBorders>
              <w:tl2br w:val="nil"/>
              <w:tr2bl w:val="nil"/>
            </w:tcBorders>
            <w:shd w:val="clear" w:color="auto" w:fill="auto"/>
            <w:vAlign w:val="top"/>
          </w:tcPr>
          <w:p>
            <w:pPr>
              <w:keepNext w:val="0"/>
              <w:keepLines w:val="0"/>
              <w:pageBreakBefore w:val="0"/>
              <w:widowControl/>
              <w:numPr>
                <w:ilvl w:val="0"/>
                <w:numId w:val="5"/>
              </w:numPr>
              <w:kinsoku/>
              <w:wordWrap/>
              <w:overflowPunct/>
              <w:topLinePunct w:val="0"/>
              <w:autoSpaceDE/>
              <w:autoSpaceDN/>
              <w:bidi w:val="0"/>
              <w:adjustRightInd/>
              <w:snapToGrid/>
              <w:spacing w:line="312" w:lineRule="auto"/>
              <w:jc w:val="both"/>
              <w:textAlignment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提供一次网络安全意识培训工作，网络安全建设咨询不限次数。</w:t>
            </w:r>
          </w:p>
          <w:p>
            <w:pPr>
              <w:keepNext w:val="0"/>
              <w:keepLines w:val="0"/>
              <w:pageBreakBefore w:val="0"/>
              <w:widowControl/>
              <w:numPr>
                <w:ilvl w:val="0"/>
                <w:numId w:val="5"/>
              </w:numPr>
              <w:kinsoku/>
              <w:wordWrap/>
              <w:overflowPunct/>
              <w:topLinePunct w:val="0"/>
              <w:autoSpaceDE/>
              <w:autoSpaceDN/>
              <w:bidi w:val="0"/>
              <w:adjustRightInd/>
              <w:snapToGrid/>
              <w:spacing w:line="312" w:lineRule="auto"/>
              <w:jc w:val="both"/>
              <w:textAlignment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针对全校人员网络与信息安全现场或线上培训。安全意识培训内容包含法律法规要求、安全意识与安全管理、日常网络安全意识、本省实际同行业案例等内容并和学校沟通后出具相应的培训方案。</w:t>
            </w:r>
          </w:p>
          <w:p>
            <w:pPr>
              <w:keepNext w:val="0"/>
              <w:keepLines w:val="0"/>
              <w:pageBreakBefore w:val="0"/>
              <w:widowControl/>
              <w:numPr>
                <w:ilvl w:val="0"/>
                <w:numId w:val="5"/>
              </w:numPr>
              <w:kinsoku/>
              <w:wordWrap/>
              <w:overflowPunct/>
              <w:topLinePunct w:val="0"/>
              <w:autoSpaceDE/>
              <w:autoSpaceDN/>
              <w:bidi w:val="0"/>
              <w:adjustRightInd/>
              <w:snapToGrid/>
              <w:spacing w:line="312" w:lineRule="auto"/>
              <w:jc w:val="both"/>
              <w:textAlignment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培训方式：线上或线下，根据校方情况，灵活安排，线下培训场地由校方提供。</w:t>
            </w:r>
          </w:p>
        </w:tc>
        <w:tc>
          <w:tcPr>
            <w:tcW w:w="653" w:type="pct"/>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snapToGrid/>
              <w:spacing w:line="312" w:lineRule="auto"/>
              <w:jc w:val="both"/>
              <w:rPr>
                <w:rFonts w:hint="default" w:ascii="仿宋_GB2312" w:hAnsi="仿宋_GB2312" w:eastAsia="仿宋_GB2312" w:cs="仿宋_GB2312"/>
                <w:color w:val="auto"/>
                <w:kern w:val="2"/>
                <w:sz w:val="21"/>
                <w:szCs w:val="21"/>
                <w:highlight w:val="none"/>
                <w:lang w:val="en-US" w:eastAsia="zh-CN" w:bidi="ar-SA"/>
              </w:rPr>
            </w:pPr>
            <w:r>
              <w:rPr>
                <w:rFonts w:hint="eastAsia" w:ascii="仿宋_GB2312" w:hAnsi="仿宋_GB2312" w:eastAsia="仿宋_GB2312" w:cs="仿宋_GB2312"/>
                <w:color w:val="auto"/>
                <w:kern w:val="2"/>
                <w:sz w:val="21"/>
                <w:szCs w:val="21"/>
                <w:highlight w:val="none"/>
                <w:lang w:val="en-US" w:eastAsia="zh-CN" w:bidi="ar-SA"/>
              </w:rPr>
              <w:t>2次/年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254" w:hRule="atLeast"/>
          <w:jc w:val="center"/>
        </w:trPr>
        <w:tc>
          <w:tcPr>
            <w:tcW w:w="392" w:type="pct"/>
            <w:vMerge w:val="continue"/>
            <w:tcBorders>
              <w:tl2br w:val="nil"/>
              <w:tr2bl w:val="nil"/>
            </w:tcBorders>
            <w:shd w:val="clear" w:color="auto" w:fill="auto"/>
            <w:vAlign w:val="top"/>
          </w:tcPr>
          <w:p>
            <w:pPr>
              <w:keepNext w:val="0"/>
              <w:keepLines w:val="0"/>
              <w:pageBreakBefore w:val="0"/>
              <w:widowControl/>
              <w:suppressLineNumbers w:val="0"/>
              <w:tabs>
                <w:tab w:val="left" w:pos="630"/>
              </w:tabs>
              <w:kinsoku/>
              <w:wordWrap/>
              <w:overflowPunct/>
              <w:topLinePunct w:val="0"/>
              <w:autoSpaceDE/>
              <w:autoSpaceDN/>
              <w:bidi w:val="0"/>
              <w:adjustRightInd/>
              <w:snapToGrid/>
              <w:spacing w:line="312" w:lineRule="auto"/>
              <w:ind w:left="425" w:leftChars="0" w:right="357" w:rightChars="170" w:hanging="425" w:firstLineChars="0"/>
              <w:jc w:val="both"/>
              <w:textAlignment w:val="center"/>
              <w:rPr>
                <w:rFonts w:hint="eastAsia" w:ascii="仿宋_GB2312" w:hAnsi="仿宋_GB2312" w:eastAsia="仿宋_GB2312" w:cs="仿宋_GB2312"/>
                <w:i w:val="0"/>
                <w:iCs w:val="0"/>
                <w:color w:val="auto"/>
                <w:kern w:val="2"/>
                <w:sz w:val="21"/>
                <w:szCs w:val="21"/>
                <w:highlight w:val="none"/>
                <w:u w:val="none"/>
                <w:lang w:val="en-US" w:eastAsia="zh-CN" w:bidi="ar-SA"/>
              </w:rPr>
            </w:pPr>
          </w:p>
        </w:tc>
        <w:tc>
          <w:tcPr>
            <w:tcW w:w="398" w:type="pct"/>
            <w:vMerge w:val="continue"/>
            <w:tcBorders>
              <w:tl2br w:val="nil"/>
              <w:tr2bl w:val="nil"/>
            </w:tcBorders>
            <w:shd w:val="clear" w:color="auto" w:fill="auto"/>
            <w:vAlign w:val="top"/>
          </w:tcPr>
          <w:p>
            <w:pPr>
              <w:keepNext w:val="0"/>
              <w:keepLines w:val="0"/>
              <w:pageBreakBefore w:val="0"/>
              <w:kinsoku/>
              <w:wordWrap/>
              <w:overflowPunct/>
              <w:topLinePunct w:val="0"/>
              <w:autoSpaceDE/>
              <w:autoSpaceDN/>
              <w:bidi w:val="0"/>
              <w:adjustRightInd/>
              <w:snapToGrid/>
              <w:spacing w:line="312" w:lineRule="auto"/>
              <w:ind w:left="-2" w:leftChars="-1"/>
              <w:jc w:val="both"/>
              <w:rPr>
                <w:rFonts w:hint="eastAsia" w:ascii="仿宋_GB2312" w:hAnsi="仿宋_GB2312" w:eastAsia="仿宋_GB2312" w:cs="仿宋_GB2312"/>
                <w:color w:val="auto"/>
                <w:sz w:val="21"/>
                <w:szCs w:val="21"/>
                <w:highlight w:val="none"/>
              </w:rPr>
            </w:pPr>
          </w:p>
        </w:tc>
        <w:tc>
          <w:tcPr>
            <w:tcW w:w="398" w:type="pct"/>
            <w:vMerge w:val="continue"/>
            <w:tcBorders>
              <w:tl2br w:val="nil"/>
              <w:tr2bl w:val="nil"/>
            </w:tcBorders>
            <w:shd w:val="clear" w:color="auto" w:fill="auto"/>
            <w:vAlign w:val="top"/>
          </w:tcPr>
          <w:p>
            <w:pPr>
              <w:keepNext w:val="0"/>
              <w:keepLines w:val="0"/>
              <w:pageBreakBefore w:val="0"/>
              <w:kinsoku/>
              <w:wordWrap/>
              <w:overflowPunct/>
              <w:topLinePunct w:val="0"/>
              <w:autoSpaceDE/>
              <w:autoSpaceDN/>
              <w:bidi w:val="0"/>
              <w:adjustRightInd/>
              <w:snapToGrid/>
              <w:spacing w:line="312" w:lineRule="auto"/>
              <w:ind w:left="-2" w:leftChars="-1"/>
              <w:jc w:val="both"/>
              <w:rPr>
                <w:rFonts w:hint="eastAsia" w:ascii="仿宋_GB2312" w:hAnsi="仿宋_GB2312" w:eastAsia="仿宋_GB2312" w:cs="仿宋_GB2312"/>
                <w:color w:val="auto"/>
                <w:sz w:val="21"/>
                <w:szCs w:val="21"/>
                <w:highlight w:val="none"/>
              </w:rPr>
            </w:pPr>
          </w:p>
        </w:tc>
        <w:tc>
          <w:tcPr>
            <w:tcW w:w="306" w:type="pct"/>
            <w:tcBorders>
              <w:tl2br w:val="nil"/>
              <w:tr2bl w:val="nil"/>
            </w:tcBorders>
            <w:shd w:val="clear" w:color="auto" w:fill="auto"/>
            <w:vAlign w:val="top"/>
          </w:tcPr>
          <w:p>
            <w:pPr>
              <w:keepNext w:val="0"/>
              <w:keepLines w:val="0"/>
              <w:pageBreakBefore w:val="0"/>
              <w:kinsoku/>
              <w:wordWrap/>
              <w:overflowPunct/>
              <w:topLinePunct w:val="0"/>
              <w:autoSpaceDE/>
              <w:autoSpaceDN/>
              <w:bidi w:val="0"/>
              <w:adjustRightInd/>
              <w:snapToGrid/>
              <w:spacing w:line="312" w:lineRule="auto"/>
              <w:ind w:left="-2" w:leftChars="-1"/>
              <w:jc w:val="both"/>
              <w:rPr>
                <w:rFonts w:hint="eastAsia" w:ascii="仿宋_GB2312" w:hAnsi="仿宋_GB2312" w:eastAsia="仿宋_GB2312" w:cs="仿宋_GB2312"/>
                <w:i w:val="0"/>
                <w:iCs w:val="0"/>
                <w:color w:val="auto"/>
                <w:kern w:val="2"/>
                <w:sz w:val="21"/>
                <w:szCs w:val="21"/>
                <w:highlight w:val="none"/>
                <w:u w:val="none"/>
                <w:lang w:val="en-US" w:eastAsia="zh-CN" w:bidi="ar-SA"/>
              </w:rPr>
            </w:pPr>
            <w:r>
              <w:rPr>
                <w:rFonts w:hint="eastAsia" w:ascii="仿宋_GB2312" w:hAnsi="仿宋_GB2312" w:eastAsia="仿宋_GB2312" w:cs="仿宋_GB2312"/>
                <w:color w:val="auto"/>
                <w:sz w:val="21"/>
                <w:szCs w:val="21"/>
                <w:highlight w:val="none"/>
                <w:lang w:val="en-US" w:eastAsia="zh-CN"/>
              </w:rPr>
              <w:t>网络安全CISP培训</w:t>
            </w:r>
          </w:p>
        </w:tc>
        <w:tc>
          <w:tcPr>
            <w:tcW w:w="2851" w:type="pct"/>
            <w:tcBorders>
              <w:tl2br w:val="nil"/>
              <w:tr2bl w:val="nil"/>
            </w:tcBorders>
            <w:shd w:val="clear" w:color="auto" w:fill="auto"/>
            <w:vAlign w:val="top"/>
          </w:tcPr>
          <w:p>
            <w:pPr>
              <w:keepNext w:val="0"/>
              <w:keepLines w:val="0"/>
              <w:pageBreakBefore w:val="0"/>
              <w:widowControl/>
              <w:numPr>
                <w:ilvl w:val="0"/>
                <w:numId w:val="6"/>
              </w:numPr>
              <w:kinsoku/>
              <w:wordWrap/>
              <w:overflowPunct/>
              <w:topLinePunct w:val="0"/>
              <w:autoSpaceDE/>
              <w:autoSpaceDN/>
              <w:bidi w:val="0"/>
              <w:adjustRightInd/>
              <w:snapToGrid/>
              <w:spacing w:line="312" w:lineRule="auto"/>
              <w:jc w:val="both"/>
              <w:textAlignment w:val="center"/>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在服务期内为学校从事网络安全相关工作的2名教职工提供网络安全CISP专业认证培训及考试认证服务。</w:t>
            </w:r>
          </w:p>
          <w:p>
            <w:pPr>
              <w:keepNext w:val="0"/>
              <w:keepLines w:val="0"/>
              <w:pageBreakBefore w:val="0"/>
              <w:widowControl/>
              <w:numPr>
                <w:ilvl w:val="0"/>
                <w:numId w:val="6"/>
              </w:numPr>
              <w:kinsoku/>
              <w:wordWrap/>
              <w:overflowPunct/>
              <w:topLinePunct w:val="0"/>
              <w:autoSpaceDE/>
              <w:autoSpaceDN/>
              <w:bidi w:val="0"/>
              <w:adjustRightInd/>
              <w:snapToGrid/>
              <w:spacing w:line="312" w:lineRule="auto"/>
              <w:jc w:val="both"/>
              <w:textAlignment w:val="center"/>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培训周期：15个工作日，全天；</w:t>
            </w:r>
          </w:p>
          <w:p>
            <w:pPr>
              <w:keepNext w:val="0"/>
              <w:keepLines w:val="0"/>
              <w:pageBreakBefore w:val="0"/>
              <w:widowControl/>
              <w:numPr>
                <w:ilvl w:val="0"/>
                <w:numId w:val="6"/>
              </w:numPr>
              <w:kinsoku/>
              <w:wordWrap/>
              <w:overflowPunct/>
              <w:topLinePunct w:val="0"/>
              <w:autoSpaceDE/>
              <w:autoSpaceDN/>
              <w:bidi w:val="0"/>
              <w:adjustRightInd/>
              <w:snapToGrid/>
              <w:spacing w:line="312" w:lineRule="auto"/>
              <w:jc w:val="both"/>
              <w:textAlignment w:val="center"/>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培训方式：线上或线下；</w:t>
            </w:r>
          </w:p>
          <w:p>
            <w:pPr>
              <w:keepNext w:val="0"/>
              <w:keepLines w:val="0"/>
              <w:pageBreakBefore w:val="0"/>
              <w:widowControl/>
              <w:numPr>
                <w:ilvl w:val="0"/>
                <w:numId w:val="6"/>
              </w:numPr>
              <w:kinsoku/>
              <w:wordWrap/>
              <w:overflowPunct/>
              <w:topLinePunct w:val="0"/>
              <w:autoSpaceDE/>
              <w:autoSpaceDN/>
              <w:bidi w:val="0"/>
              <w:adjustRightInd/>
              <w:snapToGrid/>
              <w:spacing w:line="312" w:lineRule="auto"/>
              <w:jc w:val="both"/>
              <w:textAlignment w:val="center"/>
              <w:rPr>
                <w:rFonts w:hint="eastAsia" w:ascii="仿宋_GB2312" w:hAnsi="仿宋_GB2312" w:eastAsia="仿宋_GB2312" w:cs="仿宋_GB2312"/>
                <w:i w:val="0"/>
                <w:iCs w:val="0"/>
                <w:color w:val="auto"/>
                <w:kern w:val="2"/>
                <w:sz w:val="21"/>
                <w:szCs w:val="21"/>
                <w:highlight w:val="none"/>
                <w:u w:val="none"/>
                <w:lang w:val="en-US" w:eastAsia="zh-CN" w:bidi="ar-SA"/>
              </w:rPr>
            </w:pPr>
            <w:r>
              <w:rPr>
                <w:rFonts w:hint="eastAsia" w:ascii="仿宋_GB2312" w:hAnsi="仿宋_GB2312" w:eastAsia="仿宋_GB2312" w:cs="仿宋_GB2312"/>
                <w:color w:val="auto"/>
                <w:sz w:val="21"/>
                <w:szCs w:val="21"/>
                <w:highlight w:val="none"/>
                <w:lang w:val="en-US" w:eastAsia="zh-CN"/>
              </w:rPr>
              <w:t>考试方式：线下考试。</w:t>
            </w:r>
          </w:p>
        </w:tc>
        <w:tc>
          <w:tcPr>
            <w:tcW w:w="653" w:type="pct"/>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snapToGrid/>
              <w:spacing w:line="312" w:lineRule="auto"/>
              <w:jc w:val="both"/>
              <w:rPr>
                <w:rFonts w:hint="eastAsia" w:ascii="仿宋_GB2312" w:hAnsi="仿宋_GB2312" w:eastAsia="仿宋_GB2312" w:cs="仿宋_GB2312"/>
                <w:color w:val="auto"/>
                <w:kern w:val="2"/>
                <w:sz w:val="21"/>
                <w:szCs w:val="21"/>
                <w:highlight w:val="none"/>
                <w:lang w:val="en-US" w:eastAsia="zh-CN" w:bidi="ar-SA"/>
              </w:rPr>
            </w:pPr>
            <w:r>
              <w:rPr>
                <w:rFonts w:hint="eastAsia" w:ascii="仿宋_GB2312" w:hAnsi="仿宋_GB2312" w:eastAsia="仿宋_GB2312" w:cs="仿宋_GB2312"/>
                <w:color w:val="auto"/>
                <w:kern w:val="2"/>
                <w:sz w:val="21"/>
                <w:szCs w:val="21"/>
                <w:highlight w:val="none"/>
                <w:lang w:val="en-US" w:eastAsia="zh-CN" w:bidi="ar-SA"/>
              </w:rPr>
              <w:t>2人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235" w:hRule="atLeast"/>
          <w:jc w:val="center"/>
        </w:trPr>
        <w:tc>
          <w:tcPr>
            <w:tcW w:w="392" w:type="pct"/>
            <w:tcBorders>
              <w:tl2br w:val="nil"/>
              <w:tr2bl w:val="nil"/>
            </w:tcBorders>
            <w:shd w:val="clear" w:color="auto" w:fill="auto"/>
            <w:vAlign w:val="top"/>
          </w:tcPr>
          <w:p>
            <w:pPr>
              <w:pStyle w:val="5"/>
              <w:pageBreakBefore w:val="0"/>
              <w:numPr>
                <w:ilvl w:val="0"/>
                <w:numId w:val="4"/>
              </w:numPr>
              <w:kinsoku/>
              <w:wordWrap/>
              <w:overflowPunct/>
              <w:topLinePunct w:val="0"/>
              <w:autoSpaceDE/>
              <w:autoSpaceDN/>
              <w:bidi w:val="0"/>
              <w:spacing w:line="312" w:lineRule="auto"/>
              <w:ind w:left="425" w:leftChars="0" w:hanging="425" w:firstLineChars="0"/>
              <w:jc w:val="both"/>
              <w:rPr>
                <w:rFonts w:hint="eastAsia" w:ascii="仿宋_GB2312" w:hAnsi="仿宋_GB2312" w:eastAsia="仿宋_GB2312" w:cs="仿宋_GB2312"/>
                <w:b w:val="0"/>
                <w:bCs w:val="0"/>
                <w:i w:val="0"/>
                <w:iCs w:val="0"/>
                <w:color w:val="auto"/>
                <w:kern w:val="0"/>
                <w:sz w:val="21"/>
                <w:szCs w:val="21"/>
                <w:highlight w:val="none"/>
                <w:u w:val="none"/>
                <w:lang w:val="en-US" w:eastAsia="zh-CN" w:bidi="ar"/>
              </w:rPr>
            </w:pPr>
          </w:p>
        </w:tc>
        <w:tc>
          <w:tcPr>
            <w:tcW w:w="398" w:type="pct"/>
            <w:tcBorders>
              <w:tl2br w:val="nil"/>
              <w:tr2bl w:val="nil"/>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312" w:lineRule="auto"/>
              <w:jc w:val="both"/>
              <w:textAlignment w:val="center"/>
              <w:rPr>
                <w:rFonts w:hint="eastAsia" w:ascii="仿宋_GB2312" w:hAnsi="仿宋_GB2312" w:eastAsia="仿宋_GB2312" w:cs="仿宋_GB2312"/>
                <w:b w:val="0"/>
                <w:bCs w:val="0"/>
                <w:i w:val="0"/>
                <w:iCs w:val="0"/>
                <w:color w:val="auto"/>
                <w:kern w:val="0"/>
                <w:sz w:val="21"/>
                <w:szCs w:val="21"/>
                <w:highlight w:val="none"/>
                <w:u w:val="none"/>
                <w:lang w:val="en-US" w:eastAsia="zh-CN" w:bidi="ar"/>
              </w:rPr>
            </w:pPr>
            <w:r>
              <w:rPr>
                <w:rFonts w:hint="eastAsia" w:ascii="仿宋_GB2312" w:hAnsi="仿宋_GB2312" w:eastAsia="仿宋_GB2312" w:cs="仿宋_GB2312"/>
                <w:b w:val="0"/>
                <w:bCs w:val="0"/>
                <w:i w:val="0"/>
                <w:iCs w:val="0"/>
                <w:color w:val="auto"/>
                <w:kern w:val="0"/>
                <w:sz w:val="21"/>
                <w:szCs w:val="21"/>
                <w:highlight w:val="none"/>
                <w:u w:val="none"/>
                <w:lang w:val="en-US" w:eastAsia="zh-CN" w:bidi="ar"/>
              </w:rPr>
              <w:t>安全托管服务</w:t>
            </w:r>
          </w:p>
        </w:tc>
        <w:tc>
          <w:tcPr>
            <w:tcW w:w="704" w:type="pct"/>
            <w:gridSpan w:val="2"/>
            <w:tcBorders>
              <w:tl2br w:val="nil"/>
              <w:tr2bl w:val="nil"/>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312" w:lineRule="auto"/>
              <w:jc w:val="both"/>
              <w:textAlignment w:val="center"/>
              <w:rPr>
                <w:rFonts w:hint="eastAsia" w:ascii="仿宋_GB2312" w:hAnsi="仿宋_GB2312" w:eastAsia="仿宋_GB2312" w:cs="仿宋_GB2312"/>
                <w:b w:val="0"/>
                <w:bCs w:val="0"/>
                <w:i w:val="0"/>
                <w:iCs w:val="0"/>
                <w:color w:val="auto"/>
                <w:kern w:val="0"/>
                <w:sz w:val="21"/>
                <w:szCs w:val="21"/>
                <w:highlight w:val="none"/>
                <w:u w:val="none"/>
                <w:lang w:val="en-US" w:eastAsia="zh-CN" w:bidi="ar"/>
              </w:rPr>
            </w:pPr>
            <w:r>
              <w:rPr>
                <w:rFonts w:hint="eastAsia" w:ascii="仿宋_GB2312" w:hAnsi="仿宋_GB2312" w:eastAsia="仿宋_GB2312" w:cs="仿宋_GB2312"/>
                <w:b w:val="0"/>
                <w:bCs w:val="0"/>
                <w:i w:val="0"/>
                <w:iCs w:val="0"/>
                <w:color w:val="auto"/>
                <w:kern w:val="0"/>
                <w:sz w:val="21"/>
                <w:szCs w:val="21"/>
                <w:highlight w:val="none"/>
                <w:u w:val="none"/>
                <w:lang w:val="en-US" w:eastAsia="zh-CN" w:bidi="ar"/>
              </w:rPr>
              <w:t>安全托管服务</w:t>
            </w:r>
          </w:p>
        </w:tc>
        <w:tc>
          <w:tcPr>
            <w:tcW w:w="2851" w:type="pct"/>
            <w:tcBorders>
              <w:tl2br w:val="nil"/>
              <w:tr2bl w:val="nil"/>
            </w:tcBorders>
            <w:shd w:val="clear" w:color="auto" w:fill="auto"/>
            <w:vAlign w:val="top"/>
          </w:tcPr>
          <w:p>
            <w:pPr>
              <w:keepNext w:val="0"/>
              <w:keepLines w:val="0"/>
              <w:pageBreakBefore w:val="0"/>
              <w:widowControl/>
              <w:numPr>
                <w:ilvl w:val="0"/>
                <w:numId w:val="7"/>
              </w:numPr>
              <w:suppressLineNumbers w:val="0"/>
              <w:kinsoku/>
              <w:wordWrap/>
              <w:overflowPunct/>
              <w:topLinePunct w:val="0"/>
              <w:autoSpaceDE/>
              <w:autoSpaceDN/>
              <w:bidi w:val="0"/>
              <w:adjustRightInd/>
              <w:snapToGrid/>
              <w:spacing w:line="312" w:lineRule="auto"/>
              <w:jc w:val="both"/>
              <w:textAlignment w:val="center"/>
              <w:rPr>
                <w:rFonts w:hint="eastAsia" w:ascii="仿宋_GB2312" w:hAnsi="仿宋_GB2312" w:eastAsia="仿宋_GB2312" w:cs="仿宋_GB2312"/>
                <w:b w:val="0"/>
                <w:bCs w:val="0"/>
                <w:i w:val="0"/>
                <w:iCs w:val="0"/>
                <w:color w:val="auto"/>
                <w:kern w:val="0"/>
                <w:sz w:val="21"/>
                <w:szCs w:val="21"/>
                <w:highlight w:val="none"/>
                <w:u w:val="none"/>
                <w:lang w:val="en-US" w:eastAsia="zh-CN" w:bidi="ar"/>
              </w:rPr>
            </w:pPr>
            <w:r>
              <w:rPr>
                <w:rFonts w:hint="eastAsia" w:ascii="仿宋_GB2312" w:hAnsi="仿宋_GB2312" w:eastAsia="仿宋_GB2312" w:cs="仿宋_GB2312"/>
                <w:b w:val="0"/>
                <w:bCs w:val="0"/>
                <w:i w:val="0"/>
                <w:iCs w:val="0"/>
                <w:color w:val="auto"/>
                <w:kern w:val="0"/>
                <w:sz w:val="21"/>
                <w:szCs w:val="21"/>
                <w:highlight w:val="none"/>
                <w:u w:val="none"/>
                <w:lang w:val="en-US" w:eastAsia="zh-CN" w:bidi="ar"/>
              </w:rPr>
              <w:t>服务概述：安全运营服务以保障网络安全“持续有效”为目标，围绕资产、漏洞、威胁、事件四个要素，通过云端安全运营中心和安全专家团队有效协同的“人机共智”模式7*24H持续性开展网络安全保障工作，与用户一同构建持续（7*24小时）、主动、闭环的安全运营体系。</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12" w:lineRule="auto"/>
              <w:jc w:val="both"/>
              <w:textAlignment w:val="center"/>
              <w:rPr>
                <w:rFonts w:hint="eastAsia" w:ascii="仿宋_GB2312" w:hAnsi="仿宋_GB2312" w:eastAsia="仿宋_GB2312" w:cs="仿宋_GB2312"/>
                <w:b w:val="0"/>
                <w:bCs w:val="0"/>
                <w:i w:val="0"/>
                <w:iCs w:val="0"/>
                <w:color w:val="auto"/>
                <w:kern w:val="0"/>
                <w:sz w:val="21"/>
                <w:szCs w:val="21"/>
                <w:highlight w:val="none"/>
                <w:u w:val="none"/>
                <w:lang w:val="en-US" w:eastAsia="zh-CN" w:bidi="ar"/>
              </w:rPr>
            </w:pPr>
            <w:r>
              <w:rPr>
                <w:rFonts w:hint="eastAsia" w:ascii="仿宋_GB2312" w:hAnsi="仿宋_GB2312" w:eastAsia="仿宋_GB2312" w:cs="仿宋_GB2312"/>
                <w:b w:val="0"/>
                <w:bCs w:val="0"/>
                <w:i w:val="0"/>
                <w:iCs w:val="0"/>
                <w:color w:val="auto"/>
                <w:kern w:val="0"/>
                <w:sz w:val="21"/>
                <w:szCs w:val="21"/>
                <w:highlight w:val="none"/>
                <w:u w:val="none"/>
                <w:lang w:val="en-US" w:eastAsia="zh-CN" w:bidi="ar"/>
              </w:rPr>
              <w:t>二、服务内容</w:t>
            </w:r>
          </w:p>
          <w:p>
            <w:pPr>
              <w:keepNext w:val="0"/>
              <w:keepLines w:val="0"/>
              <w:pageBreakBefore w:val="0"/>
              <w:widowControl/>
              <w:suppressLineNumbers w:val="0"/>
              <w:kinsoku/>
              <w:wordWrap/>
              <w:overflowPunct/>
              <w:topLinePunct w:val="0"/>
              <w:autoSpaceDE/>
              <w:autoSpaceDN/>
              <w:bidi w:val="0"/>
              <w:adjustRightInd/>
              <w:snapToGrid/>
              <w:spacing w:line="312" w:lineRule="auto"/>
              <w:jc w:val="both"/>
              <w:textAlignment w:val="center"/>
              <w:rPr>
                <w:rFonts w:hint="eastAsia" w:ascii="仿宋_GB2312" w:hAnsi="仿宋_GB2312" w:eastAsia="仿宋_GB2312" w:cs="仿宋_GB2312"/>
                <w:b w:val="0"/>
                <w:bCs w:val="0"/>
                <w:i w:val="0"/>
                <w:iCs w:val="0"/>
                <w:color w:val="auto"/>
                <w:kern w:val="0"/>
                <w:sz w:val="21"/>
                <w:szCs w:val="21"/>
                <w:highlight w:val="none"/>
                <w:u w:val="none"/>
                <w:lang w:val="en-US" w:eastAsia="zh-CN" w:bidi="ar"/>
              </w:rPr>
            </w:pPr>
            <w:r>
              <w:rPr>
                <w:rFonts w:hint="eastAsia" w:ascii="仿宋_GB2312" w:hAnsi="仿宋_GB2312" w:eastAsia="仿宋_GB2312" w:cs="仿宋_GB2312"/>
                <w:b w:val="0"/>
                <w:bCs w:val="0"/>
                <w:i w:val="0"/>
                <w:iCs w:val="0"/>
                <w:color w:val="auto"/>
                <w:kern w:val="0"/>
                <w:sz w:val="21"/>
                <w:szCs w:val="21"/>
                <w:highlight w:val="none"/>
                <w:u w:val="none"/>
                <w:lang w:val="en-US" w:eastAsia="zh-CN" w:bidi="ar"/>
              </w:rPr>
              <w:t>1、运营准备阶段</w:t>
            </w:r>
          </w:p>
          <w:p>
            <w:pPr>
              <w:keepNext w:val="0"/>
              <w:keepLines w:val="0"/>
              <w:pageBreakBefore w:val="0"/>
              <w:widowControl/>
              <w:suppressLineNumbers w:val="0"/>
              <w:kinsoku/>
              <w:wordWrap/>
              <w:overflowPunct/>
              <w:topLinePunct w:val="0"/>
              <w:autoSpaceDE/>
              <w:autoSpaceDN/>
              <w:bidi w:val="0"/>
              <w:adjustRightInd/>
              <w:snapToGrid/>
              <w:spacing w:line="312" w:lineRule="auto"/>
              <w:jc w:val="both"/>
              <w:textAlignment w:val="center"/>
              <w:rPr>
                <w:rFonts w:hint="eastAsia" w:ascii="仿宋_GB2312" w:hAnsi="仿宋_GB2312" w:eastAsia="仿宋_GB2312" w:cs="仿宋_GB2312"/>
                <w:b w:val="0"/>
                <w:bCs w:val="0"/>
                <w:i w:val="0"/>
                <w:iCs w:val="0"/>
                <w:color w:val="auto"/>
                <w:kern w:val="0"/>
                <w:sz w:val="21"/>
                <w:szCs w:val="21"/>
                <w:highlight w:val="none"/>
                <w:u w:val="none"/>
                <w:lang w:val="en-US" w:eastAsia="zh-CN" w:bidi="ar"/>
              </w:rPr>
            </w:pPr>
            <w:r>
              <w:rPr>
                <w:rFonts w:hint="eastAsia" w:ascii="仿宋_GB2312" w:hAnsi="仿宋_GB2312" w:eastAsia="仿宋_GB2312" w:cs="仿宋_GB2312"/>
                <w:b w:val="0"/>
                <w:bCs w:val="0"/>
                <w:i w:val="0"/>
                <w:iCs w:val="0"/>
                <w:color w:val="auto"/>
                <w:kern w:val="0"/>
                <w:sz w:val="21"/>
                <w:szCs w:val="21"/>
                <w:highlight w:val="none"/>
                <w:u w:val="none"/>
                <w:lang w:val="en-US" w:eastAsia="zh-CN" w:bidi="ar"/>
              </w:rPr>
              <w:t>1.1、上线前策略检查：上线前安全专家对安全组件上的安全策略进行统一检查，确保安全组件上的安全策略始终处于最优水平，针对威胁能起到最好的防护效果。</w:t>
            </w:r>
          </w:p>
          <w:p>
            <w:pPr>
              <w:keepNext w:val="0"/>
              <w:keepLines w:val="0"/>
              <w:pageBreakBefore w:val="0"/>
              <w:widowControl/>
              <w:suppressLineNumbers w:val="0"/>
              <w:kinsoku/>
              <w:wordWrap/>
              <w:overflowPunct/>
              <w:topLinePunct w:val="0"/>
              <w:autoSpaceDE/>
              <w:autoSpaceDN/>
              <w:bidi w:val="0"/>
              <w:adjustRightInd/>
              <w:snapToGrid/>
              <w:spacing w:line="312" w:lineRule="auto"/>
              <w:jc w:val="both"/>
              <w:textAlignment w:val="center"/>
              <w:rPr>
                <w:rFonts w:hint="eastAsia" w:ascii="仿宋_GB2312" w:hAnsi="仿宋_GB2312" w:eastAsia="仿宋_GB2312" w:cs="仿宋_GB2312"/>
                <w:b w:val="0"/>
                <w:bCs w:val="0"/>
                <w:i w:val="0"/>
                <w:iCs w:val="0"/>
                <w:color w:val="auto"/>
                <w:kern w:val="0"/>
                <w:sz w:val="21"/>
                <w:szCs w:val="21"/>
                <w:highlight w:val="none"/>
                <w:u w:val="none"/>
                <w:lang w:val="en-US" w:eastAsia="zh-CN" w:bidi="ar"/>
              </w:rPr>
            </w:pPr>
            <w:r>
              <w:rPr>
                <w:rFonts w:hint="eastAsia" w:ascii="仿宋_GB2312" w:hAnsi="仿宋_GB2312" w:eastAsia="仿宋_GB2312" w:cs="仿宋_GB2312"/>
                <w:b w:val="0"/>
                <w:bCs w:val="0"/>
                <w:i w:val="0"/>
                <w:iCs w:val="0"/>
                <w:color w:val="auto"/>
                <w:kern w:val="0"/>
                <w:sz w:val="21"/>
                <w:szCs w:val="21"/>
                <w:highlight w:val="none"/>
                <w:u w:val="none"/>
                <w:lang w:val="en-US" w:eastAsia="zh-CN" w:bidi="ar"/>
              </w:rPr>
              <w:t>1.2、资产管理</w:t>
            </w:r>
          </w:p>
          <w:p>
            <w:pPr>
              <w:keepNext w:val="0"/>
              <w:keepLines w:val="0"/>
              <w:pageBreakBefore w:val="0"/>
              <w:widowControl/>
              <w:suppressLineNumbers w:val="0"/>
              <w:kinsoku/>
              <w:wordWrap/>
              <w:overflowPunct/>
              <w:topLinePunct w:val="0"/>
              <w:autoSpaceDE/>
              <w:autoSpaceDN/>
              <w:bidi w:val="0"/>
              <w:adjustRightInd/>
              <w:snapToGrid/>
              <w:spacing w:line="312" w:lineRule="auto"/>
              <w:jc w:val="both"/>
              <w:textAlignment w:val="center"/>
              <w:rPr>
                <w:rFonts w:hint="eastAsia" w:ascii="仿宋_GB2312" w:hAnsi="仿宋_GB2312" w:eastAsia="仿宋_GB2312" w:cs="仿宋_GB2312"/>
                <w:b w:val="0"/>
                <w:bCs w:val="0"/>
                <w:i w:val="0"/>
                <w:iCs w:val="0"/>
                <w:color w:val="auto"/>
                <w:kern w:val="0"/>
                <w:sz w:val="21"/>
                <w:szCs w:val="21"/>
                <w:highlight w:val="none"/>
                <w:u w:val="none"/>
                <w:lang w:val="en-US" w:eastAsia="zh-CN" w:bidi="ar"/>
              </w:rPr>
            </w:pPr>
            <w:r>
              <w:rPr>
                <w:rFonts w:hint="eastAsia" w:ascii="仿宋_GB2312" w:hAnsi="仿宋_GB2312" w:eastAsia="仿宋_GB2312" w:cs="仿宋_GB2312"/>
                <w:b w:val="0"/>
                <w:bCs w:val="0"/>
                <w:i w:val="0"/>
                <w:iCs w:val="0"/>
                <w:color w:val="auto"/>
                <w:kern w:val="0"/>
                <w:sz w:val="21"/>
                <w:szCs w:val="21"/>
                <w:highlight w:val="none"/>
                <w:u w:val="none"/>
                <w:lang w:val="en-US" w:eastAsia="zh-CN" w:bidi="ar"/>
              </w:rPr>
              <w:t>资产收集与录入：安全专家对服务资产进行收集，并将资产信息录入到安全运营平台进行管理。</w:t>
            </w:r>
          </w:p>
          <w:p>
            <w:pPr>
              <w:keepNext w:val="0"/>
              <w:keepLines w:val="0"/>
              <w:pageBreakBefore w:val="0"/>
              <w:widowControl/>
              <w:suppressLineNumbers w:val="0"/>
              <w:kinsoku/>
              <w:wordWrap/>
              <w:overflowPunct/>
              <w:topLinePunct w:val="0"/>
              <w:autoSpaceDE/>
              <w:autoSpaceDN/>
              <w:bidi w:val="0"/>
              <w:adjustRightInd/>
              <w:snapToGrid/>
              <w:spacing w:line="312" w:lineRule="auto"/>
              <w:jc w:val="both"/>
              <w:textAlignment w:val="center"/>
              <w:rPr>
                <w:rFonts w:hint="eastAsia" w:ascii="仿宋_GB2312" w:hAnsi="仿宋_GB2312" w:eastAsia="仿宋_GB2312" w:cs="仿宋_GB2312"/>
                <w:b w:val="0"/>
                <w:bCs w:val="0"/>
                <w:i w:val="0"/>
                <w:iCs w:val="0"/>
                <w:color w:val="auto"/>
                <w:kern w:val="0"/>
                <w:sz w:val="21"/>
                <w:szCs w:val="21"/>
                <w:highlight w:val="none"/>
                <w:u w:val="none"/>
                <w:lang w:val="en-US" w:eastAsia="zh-CN" w:bidi="ar"/>
              </w:rPr>
            </w:pPr>
            <w:r>
              <w:rPr>
                <w:rFonts w:hint="eastAsia" w:ascii="仿宋_GB2312" w:hAnsi="仿宋_GB2312" w:eastAsia="仿宋_GB2312" w:cs="仿宋_GB2312"/>
                <w:b w:val="0"/>
                <w:bCs w:val="0"/>
                <w:i w:val="0"/>
                <w:iCs w:val="0"/>
                <w:color w:val="auto"/>
                <w:kern w:val="0"/>
                <w:sz w:val="21"/>
                <w:szCs w:val="21"/>
                <w:highlight w:val="none"/>
                <w:u w:val="none"/>
                <w:lang w:val="en-US" w:eastAsia="zh-CN" w:bidi="ar"/>
              </w:rPr>
              <w:t>资产指纹探测：持续服务过程中安全专家定期对资产进行指纹（操作系统、中间件、软件厂商等信息）探测，并对指纹信息进行确认与更新，确保安全运营中心中资产指纹信息的准确性和全面性。</w:t>
            </w:r>
          </w:p>
          <w:p>
            <w:pPr>
              <w:keepNext w:val="0"/>
              <w:keepLines w:val="0"/>
              <w:pageBreakBefore w:val="0"/>
              <w:widowControl/>
              <w:suppressLineNumbers w:val="0"/>
              <w:kinsoku/>
              <w:wordWrap/>
              <w:overflowPunct/>
              <w:topLinePunct w:val="0"/>
              <w:autoSpaceDE/>
              <w:autoSpaceDN/>
              <w:bidi w:val="0"/>
              <w:adjustRightInd/>
              <w:snapToGrid/>
              <w:spacing w:line="312" w:lineRule="auto"/>
              <w:jc w:val="both"/>
              <w:textAlignment w:val="center"/>
              <w:rPr>
                <w:rFonts w:hint="eastAsia" w:ascii="仿宋_GB2312" w:hAnsi="仿宋_GB2312" w:eastAsia="仿宋_GB2312" w:cs="仿宋_GB2312"/>
                <w:b w:val="0"/>
                <w:bCs w:val="0"/>
                <w:i w:val="0"/>
                <w:iCs w:val="0"/>
                <w:color w:val="auto"/>
                <w:kern w:val="0"/>
                <w:sz w:val="21"/>
                <w:szCs w:val="21"/>
                <w:highlight w:val="none"/>
                <w:u w:val="none"/>
                <w:lang w:val="en-US" w:eastAsia="zh-CN" w:bidi="ar"/>
              </w:rPr>
            </w:pPr>
            <w:r>
              <w:rPr>
                <w:rFonts w:hint="eastAsia" w:ascii="仿宋_GB2312" w:hAnsi="仿宋_GB2312" w:eastAsia="仿宋_GB2312" w:cs="仿宋_GB2312"/>
                <w:b w:val="0"/>
                <w:bCs w:val="0"/>
                <w:i w:val="0"/>
                <w:iCs w:val="0"/>
                <w:color w:val="auto"/>
                <w:kern w:val="0"/>
                <w:sz w:val="21"/>
                <w:szCs w:val="21"/>
                <w:highlight w:val="none"/>
                <w:u w:val="none"/>
                <w:lang w:val="en-US" w:eastAsia="zh-CN" w:bidi="ar"/>
              </w:rPr>
              <w:t>资产变更管理：持续服务过程中安全专家定期对资产进行存活性探测，当发现未存活资产或资产发生变更时，安全专家对变更信息进行确认与更新，确保安全运营中心中资产信息的准确性和全面性。</w:t>
            </w:r>
          </w:p>
          <w:p>
            <w:pPr>
              <w:keepNext w:val="0"/>
              <w:keepLines w:val="0"/>
              <w:pageBreakBefore w:val="0"/>
              <w:widowControl/>
              <w:suppressLineNumbers w:val="0"/>
              <w:kinsoku/>
              <w:wordWrap/>
              <w:overflowPunct/>
              <w:topLinePunct w:val="0"/>
              <w:autoSpaceDE/>
              <w:autoSpaceDN/>
              <w:bidi w:val="0"/>
              <w:adjustRightInd/>
              <w:snapToGrid/>
              <w:spacing w:line="312" w:lineRule="auto"/>
              <w:jc w:val="both"/>
              <w:textAlignment w:val="center"/>
              <w:rPr>
                <w:rFonts w:hint="eastAsia" w:ascii="仿宋_GB2312" w:hAnsi="仿宋_GB2312" w:eastAsia="仿宋_GB2312" w:cs="仿宋_GB2312"/>
                <w:b w:val="0"/>
                <w:bCs w:val="0"/>
                <w:i w:val="0"/>
                <w:iCs w:val="0"/>
                <w:color w:val="auto"/>
                <w:kern w:val="0"/>
                <w:sz w:val="21"/>
                <w:szCs w:val="21"/>
                <w:highlight w:val="none"/>
                <w:u w:val="none"/>
                <w:lang w:val="en-US" w:eastAsia="zh-CN" w:bidi="ar"/>
              </w:rPr>
            </w:pPr>
            <w:r>
              <w:rPr>
                <w:rFonts w:hint="eastAsia" w:ascii="仿宋_GB2312" w:hAnsi="仿宋_GB2312" w:eastAsia="仿宋_GB2312" w:cs="仿宋_GB2312"/>
                <w:b w:val="0"/>
                <w:bCs w:val="0"/>
                <w:i w:val="0"/>
                <w:iCs w:val="0"/>
                <w:color w:val="auto"/>
                <w:kern w:val="0"/>
                <w:sz w:val="21"/>
                <w:szCs w:val="21"/>
                <w:highlight w:val="none"/>
                <w:u w:val="none"/>
                <w:lang w:val="en-US" w:eastAsia="zh-CN" w:bidi="ar"/>
              </w:rPr>
              <w:t>1.3、安全现状评估与处置</w:t>
            </w:r>
          </w:p>
          <w:p>
            <w:pPr>
              <w:keepNext w:val="0"/>
              <w:keepLines w:val="0"/>
              <w:pageBreakBefore w:val="0"/>
              <w:widowControl/>
              <w:suppressLineNumbers w:val="0"/>
              <w:kinsoku/>
              <w:wordWrap/>
              <w:overflowPunct/>
              <w:topLinePunct w:val="0"/>
              <w:autoSpaceDE/>
              <w:autoSpaceDN/>
              <w:bidi w:val="0"/>
              <w:adjustRightInd/>
              <w:snapToGrid/>
              <w:spacing w:line="312" w:lineRule="auto"/>
              <w:jc w:val="both"/>
              <w:textAlignment w:val="center"/>
              <w:rPr>
                <w:rFonts w:hint="eastAsia" w:ascii="仿宋_GB2312" w:hAnsi="仿宋_GB2312" w:eastAsia="仿宋_GB2312" w:cs="仿宋_GB2312"/>
                <w:b w:val="0"/>
                <w:bCs w:val="0"/>
                <w:i w:val="0"/>
                <w:iCs w:val="0"/>
                <w:color w:val="auto"/>
                <w:kern w:val="0"/>
                <w:sz w:val="21"/>
                <w:szCs w:val="21"/>
                <w:highlight w:val="none"/>
                <w:u w:val="none"/>
                <w:lang w:val="en-US" w:eastAsia="zh-CN" w:bidi="ar"/>
              </w:rPr>
            </w:pPr>
            <w:r>
              <w:rPr>
                <w:rFonts w:hint="eastAsia" w:ascii="仿宋_GB2312" w:hAnsi="仿宋_GB2312" w:eastAsia="仿宋_GB2312" w:cs="仿宋_GB2312"/>
                <w:b w:val="0"/>
                <w:bCs w:val="0"/>
                <w:i w:val="0"/>
                <w:iCs w:val="0"/>
                <w:color w:val="auto"/>
                <w:kern w:val="0"/>
                <w:sz w:val="21"/>
                <w:szCs w:val="21"/>
                <w:highlight w:val="none"/>
                <w:u w:val="none"/>
                <w:lang w:val="en-US" w:eastAsia="zh-CN" w:bidi="ar"/>
              </w:rPr>
              <w:t>对服务资产内漏洞问题、策略配置隐患问题进行归纳汇总。针对发现的问题提供修复方案与协助处理</w:t>
            </w:r>
          </w:p>
          <w:p>
            <w:pPr>
              <w:keepNext w:val="0"/>
              <w:keepLines w:val="0"/>
              <w:pageBreakBefore w:val="0"/>
              <w:widowControl/>
              <w:suppressLineNumbers w:val="0"/>
              <w:kinsoku/>
              <w:wordWrap/>
              <w:overflowPunct/>
              <w:topLinePunct w:val="0"/>
              <w:autoSpaceDE/>
              <w:autoSpaceDN/>
              <w:bidi w:val="0"/>
              <w:adjustRightInd/>
              <w:snapToGrid/>
              <w:spacing w:line="312" w:lineRule="auto"/>
              <w:jc w:val="both"/>
              <w:textAlignment w:val="center"/>
              <w:rPr>
                <w:rFonts w:hint="eastAsia" w:ascii="仿宋_GB2312" w:hAnsi="仿宋_GB2312" w:eastAsia="仿宋_GB2312" w:cs="仿宋_GB2312"/>
                <w:b w:val="0"/>
                <w:bCs w:val="0"/>
                <w:i w:val="0"/>
                <w:iCs w:val="0"/>
                <w:color w:val="auto"/>
                <w:kern w:val="0"/>
                <w:sz w:val="21"/>
                <w:szCs w:val="21"/>
                <w:highlight w:val="none"/>
                <w:u w:val="none"/>
                <w:lang w:val="en-US" w:eastAsia="zh-CN" w:bidi="ar"/>
              </w:rPr>
            </w:pPr>
            <w:r>
              <w:rPr>
                <w:rFonts w:hint="eastAsia" w:ascii="仿宋_GB2312" w:hAnsi="仿宋_GB2312" w:eastAsia="仿宋_GB2312" w:cs="仿宋_GB2312"/>
                <w:b w:val="0"/>
                <w:bCs w:val="0"/>
                <w:i w:val="0"/>
                <w:iCs w:val="0"/>
                <w:color w:val="auto"/>
                <w:kern w:val="0"/>
                <w:sz w:val="21"/>
                <w:szCs w:val="21"/>
                <w:highlight w:val="none"/>
                <w:u w:val="none"/>
                <w:lang w:val="en-US" w:eastAsia="zh-CN" w:bidi="ar"/>
              </w:rPr>
              <w:t>2、持续有效运营</w:t>
            </w:r>
          </w:p>
          <w:p>
            <w:pPr>
              <w:keepNext w:val="0"/>
              <w:keepLines w:val="0"/>
              <w:pageBreakBefore w:val="0"/>
              <w:widowControl/>
              <w:suppressLineNumbers w:val="0"/>
              <w:kinsoku/>
              <w:wordWrap/>
              <w:overflowPunct/>
              <w:topLinePunct w:val="0"/>
              <w:autoSpaceDE/>
              <w:autoSpaceDN/>
              <w:bidi w:val="0"/>
              <w:adjustRightInd/>
              <w:snapToGrid/>
              <w:spacing w:line="312" w:lineRule="auto"/>
              <w:jc w:val="both"/>
              <w:textAlignment w:val="center"/>
              <w:rPr>
                <w:rFonts w:hint="eastAsia" w:ascii="仿宋_GB2312" w:hAnsi="仿宋_GB2312" w:eastAsia="仿宋_GB2312" w:cs="仿宋_GB2312"/>
                <w:b w:val="0"/>
                <w:bCs w:val="0"/>
                <w:i w:val="0"/>
                <w:iCs w:val="0"/>
                <w:color w:val="auto"/>
                <w:kern w:val="0"/>
                <w:sz w:val="21"/>
                <w:szCs w:val="21"/>
                <w:highlight w:val="none"/>
                <w:u w:val="none"/>
                <w:lang w:val="en-US" w:eastAsia="zh-CN" w:bidi="ar"/>
              </w:rPr>
            </w:pPr>
            <w:r>
              <w:rPr>
                <w:rFonts w:hint="eastAsia" w:ascii="仿宋_GB2312" w:hAnsi="仿宋_GB2312" w:eastAsia="仿宋_GB2312" w:cs="仿宋_GB2312"/>
                <w:b w:val="0"/>
                <w:bCs w:val="0"/>
                <w:i w:val="0"/>
                <w:iCs w:val="0"/>
                <w:color w:val="auto"/>
                <w:kern w:val="0"/>
                <w:sz w:val="21"/>
                <w:szCs w:val="21"/>
                <w:highlight w:val="none"/>
                <w:u w:val="none"/>
                <w:lang w:val="en-US" w:eastAsia="zh-CN" w:bidi="ar"/>
              </w:rPr>
              <w:t>2.1、脆弱性管理</w:t>
            </w:r>
          </w:p>
          <w:p>
            <w:pPr>
              <w:keepNext w:val="0"/>
              <w:keepLines w:val="0"/>
              <w:pageBreakBefore w:val="0"/>
              <w:widowControl/>
              <w:suppressLineNumbers w:val="0"/>
              <w:kinsoku/>
              <w:wordWrap/>
              <w:overflowPunct/>
              <w:topLinePunct w:val="0"/>
              <w:autoSpaceDE/>
              <w:autoSpaceDN/>
              <w:bidi w:val="0"/>
              <w:adjustRightInd/>
              <w:snapToGrid/>
              <w:spacing w:line="312" w:lineRule="auto"/>
              <w:jc w:val="both"/>
              <w:textAlignment w:val="center"/>
              <w:rPr>
                <w:rFonts w:hint="eastAsia" w:ascii="仿宋_GB2312" w:hAnsi="仿宋_GB2312" w:eastAsia="仿宋_GB2312" w:cs="仿宋_GB2312"/>
                <w:b w:val="0"/>
                <w:bCs w:val="0"/>
                <w:i w:val="0"/>
                <w:iCs w:val="0"/>
                <w:color w:val="auto"/>
                <w:kern w:val="0"/>
                <w:sz w:val="21"/>
                <w:szCs w:val="21"/>
                <w:highlight w:val="none"/>
                <w:u w:val="none"/>
                <w:lang w:val="en-US" w:eastAsia="zh-CN" w:bidi="ar"/>
              </w:rPr>
            </w:pPr>
            <w:r>
              <w:rPr>
                <w:rFonts w:hint="eastAsia" w:ascii="仿宋_GB2312" w:hAnsi="仿宋_GB2312" w:eastAsia="仿宋_GB2312" w:cs="仿宋_GB2312"/>
                <w:b w:val="0"/>
                <w:bCs w:val="0"/>
                <w:i w:val="0"/>
                <w:iCs w:val="0"/>
                <w:color w:val="auto"/>
                <w:kern w:val="0"/>
                <w:sz w:val="21"/>
                <w:szCs w:val="21"/>
                <w:highlight w:val="none"/>
                <w:u w:val="none"/>
                <w:lang w:val="en-US" w:eastAsia="zh-CN" w:bidi="ar"/>
              </w:rPr>
              <w:t>漏洞扫描与验证：每季度针对服务资产的系统漏洞和Web漏洞进行全量扫描，并针对发现的漏洞进行验证，验证漏洞在已有的安全体系发生风险及分析发生后可造成的危害。</w:t>
            </w:r>
          </w:p>
          <w:p>
            <w:pPr>
              <w:keepNext w:val="0"/>
              <w:keepLines w:val="0"/>
              <w:pageBreakBefore w:val="0"/>
              <w:widowControl/>
              <w:suppressLineNumbers w:val="0"/>
              <w:kinsoku/>
              <w:wordWrap/>
              <w:overflowPunct/>
              <w:topLinePunct w:val="0"/>
              <w:autoSpaceDE/>
              <w:autoSpaceDN/>
              <w:bidi w:val="0"/>
              <w:adjustRightInd/>
              <w:snapToGrid/>
              <w:spacing w:line="312" w:lineRule="auto"/>
              <w:jc w:val="both"/>
              <w:textAlignment w:val="center"/>
              <w:rPr>
                <w:rFonts w:hint="eastAsia" w:ascii="仿宋_GB2312" w:hAnsi="仿宋_GB2312" w:eastAsia="仿宋_GB2312" w:cs="仿宋_GB2312"/>
                <w:b w:val="0"/>
                <w:bCs w:val="0"/>
                <w:i w:val="0"/>
                <w:iCs w:val="0"/>
                <w:color w:val="auto"/>
                <w:kern w:val="0"/>
                <w:sz w:val="21"/>
                <w:szCs w:val="21"/>
                <w:highlight w:val="none"/>
                <w:u w:val="none"/>
                <w:lang w:val="en-US" w:eastAsia="zh-CN" w:bidi="ar"/>
              </w:rPr>
            </w:pPr>
            <w:r>
              <w:rPr>
                <w:rFonts w:hint="eastAsia" w:ascii="仿宋_GB2312" w:hAnsi="仿宋_GB2312" w:eastAsia="仿宋_GB2312" w:cs="仿宋_GB2312"/>
                <w:b w:val="0"/>
                <w:bCs w:val="0"/>
                <w:i w:val="0"/>
                <w:iCs w:val="0"/>
                <w:color w:val="auto"/>
                <w:kern w:val="0"/>
                <w:sz w:val="21"/>
                <w:szCs w:val="21"/>
                <w:highlight w:val="none"/>
                <w:u w:val="none"/>
                <w:lang w:val="en-US" w:eastAsia="zh-CN" w:bidi="ar"/>
              </w:rPr>
              <w:t>漏洞修复优先级排序与通告：基于漏洞扫描结果、资产重要性及漏洞的威胁情报，对漏洞进行重要性排序，确定修复的优先级；并将最终结果通告给用户。</w:t>
            </w:r>
          </w:p>
          <w:p>
            <w:pPr>
              <w:keepNext w:val="0"/>
              <w:keepLines w:val="0"/>
              <w:pageBreakBefore w:val="0"/>
              <w:widowControl/>
              <w:suppressLineNumbers w:val="0"/>
              <w:kinsoku/>
              <w:wordWrap/>
              <w:overflowPunct/>
              <w:topLinePunct w:val="0"/>
              <w:autoSpaceDE/>
              <w:autoSpaceDN/>
              <w:bidi w:val="0"/>
              <w:adjustRightInd/>
              <w:snapToGrid/>
              <w:spacing w:line="312" w:lineRule="auto"/>
              <w:jc w:val="both"/>
              <w:textAlignment w:val="center"/>
              <w:rPr>
                <w:rFonts w:hint="eastAsia" w:ascii="仿宋_GB2312" w:hAnsi="仿宋_GB2312" w:eastAsia="仿宋_GB2312" w:cs="仿宋_GB2312"/>
                <w:b w:val="0"/>
                <w:bCs w:val="0"/>
                <w:i w:val="0"/>
                <w:iCs w:val="0"/>
                <w:color w:val="auto"/>
                <w:kern w:val="0"/>
                <w:sz w:val="21"/>
                <w:szCs w:val="21"/>
                <w:highlight w:val="none"/>
                <w:u w:val="none"/>
                <w:lang w:val="en-US" w:eastAsia="zh-CN" w:bidi="ar"/>
              </w:rPr>
            </w:pPr>
            <w:r>
              <w:rPr>
                <w:rFonts w:hint="eastAsia" w:ascii="仿宋_GB2312" w:hAnsi="仿宋_GB2312" w:eastAsia="仿宋_GB2312" w:cs="仿宋_GB2312"/>
                <w:b w:val="0"/>
                <w:bCs w:val="0"/>
                <w:i w:val="0"/>
                <w:iCs w:val="0"/>
                <w:color w:val="auto"/>
                <w:kern w:val="0"/>
                <w:sz w:val="21"/>
                <w:szCs w:val="21"/>
                <w:highlight w:val="none"/>
                <w:u w:val="none"/>
                <w:lang w:val="en-US" w:eastAsia="zh-CN" w:bidi="ar"/>
              </w:rPr>
              <w:t>漏洞可落地修复方案：对漏洞进行分析并输出可落地的修复方案，通过工单系统跟踪修复情况。</w:t>
            </w:r>
          </w:p>
          <w:p>
            <w:pPr>
              <w:keepNext w:val="0"/>
              <w:keepLines w:val="0"/>
              <w:pageBreakBefore w:val="0"/>
              <w:widowControl/>
              <w:suppressLineNumbers w:val="0"/>
              <w:kinsoku/>
              <w:wordWrap/>
              <w:overflowPunct/>
              <w:topLinePunct w:val="0"/>
              <w:autoSpaceDE/>
              <w:autoSpaceDN/>
              <w:bidi w:val="0"/>
              <w:adjustRightInd/>
              <w:snapToGrid/>
              <w:spacing w:line="312" w:lineRule="auto"/>
              <w:jc w:val="both"/>
              <w:textAlignment w:val="center"/>
              <w:rPr>
                <w:rFonts w:hint="eastAsia" w:ascii="仿宋_GB2312" w:hAnsi="仿宋_GB2312" w:eastAsia="仿宋_GB2312" w:cs="仿宋_GB2312"/>
                <w:b w:val="0"/>
                <w:bCs w:val="0"/>
                <w:i w:val="0"/>
                <w:iCs w:val="0"/>
                <w:color w:val="auto"/>
                <w:kern w:val="0"/>
                <w:sz w:val="21"/>
                <w:szCs w:val="21"/>
                <w:highlight w:val="none"/>
                <w:u w:val="none"/>
                <w:lang w:val="en-US" w:eastAsia="zh-CN" w:bidi="ar"/>
              </w:rPr>
            </w:pPr>
            <w:r>
              <w:rPr>
                <w:rFonts w:hint="eastAsia" w:ascii="仿宋_GB2312" w:hAnsi="仿宋_GB2312" w:eastAsia="仿宋_GB2312" w:cs="仿宋_GB2312"/>
                <w:b w:val="0"/>
                <w:bCs w:val="0"/>
                <w:i w:val="0"/>
                <w:iCs w:val="0"/>
                <w:color w:val="auto"/>
                <w:kern w:val="0"/>
                <w:sz w:val="21"/>
                <w:szCs w:val="21"/>
                <w:highlight w:val="none"/>
                <w:u w:val="none"/>
                <w:lang w:val="en-US" w:eastAsia="zh-CN" w:bidi="ar"/>
              </w:rPr>
              <w:t>漏洞复测与状态追踪：对修复的漏洞进行复测，及时更新漏洞工单的漏洞修复状态。</w:t>
            </w:r>
          </w:p>
          <w:p>
            <w:pPr>
              <w:keepNext w:val="0"/>
              <w:keepLines w:val="0"/>
              <w:pageBreakBefore w:val="0"/>
              <w:widowControl/>
              <w:suppressLineNumbers w:val="0"/>
              <w:kinsoku/>
              <w:wordWrap/>
              <w:overflowPunct/>
              <w:topLinePunct w:val="0"/>
              <w:autoSpaceDE/>
              <w:autoSpaceDN/>
              <w:bidi w:val="0"/>
              <w:adjustRightInd/>
              <w:snapToGrid/>
              <w:spacing w:line="312" w:lineRule="auto"/>
              <w:jc w:val="both"/>
              <w:textAlignment w:val="center"/>
              <w:rPr>
                <w:rFonts w:hint="eastAsia" w:ascii="仿宋_GB2312" w:hAnsi="仿宋_GB2312" w:eastAsia="仿宋_GB2312" w:cs="仿宋_GB2312"/>
                <w:b w:val="0"/>
                <w:bCs w:val="0"/>
                <w:i w:val="0"/>
                <w:iCs w:val="0"/>
                <w:color w:val="auto"/>
                <w:kern w:val="0"/>
                <w:sz w:val="21"/>
                <w:szCs w:val="21"/>
                <w:highlight w:val="none"/>
                <w:u w:val="none"/>
                <w:lang w:val="en-US" w:eastAsia="zh-CN" w:bidi="ar"/>
              </w:rPr>
            </w:pPr>
            <w:r>
              <w:rPr>
                <w:rFonts w:hint="eastAsia" w:ascii="仿宋_GB2312" w:hAnsi="仿宋_GB2312" w:eastAsia="仿宋_GB2312" w:cs="仿宋_GB2312"/>
                <w:b w:val="0"/>
                <w:bCs w:val="0"/>
                <w:i w:val="0"/>
                <w:iCs w:val="0"/>
                <w:color w:val="auto"/>
                <w:kern w:val="0"/>
                <w:sz w:val="21"/>
                <w:szCs w:val="21"/>
                <w:highlight w:val="none"/>
                <w:u w:val="none"/>
                <w:lang w:val="en-US" w:eastAsia="zh-CN" w:bidi="ar"/>
              </w:rPr>
              <w:t>弱口令分析与管理：实现信息化资产不同应用弱口令猜解检测，如：SMB、Mssql、Mysql、Oracle、smtp、VNC、ftp、telnet、ssh、mysql、tomcat等。针对不同行业提供行业密码字典，有针对性的进行内网弱口令检测，并将检测发现的问题通过工单系统跟踪修复状态。</w:t>
            </w:r>
          </w:p>
          <w:p>
            <w:pPr>
              <w:keepNext w:val="0"/>
              <w:keepLines w:val="0"/>
              <w:pageBreakBefore w:val="0"/>
              <w:widowControl/>
              <w:suppressLineNumbers w:val="0"/>
              <w:kinsoku/>
              <w:wordWrap/>
              <w:overflowPunct/>
              <w:topLinePunct w:val="0"/>
              <w:autoSpaceDE/>
              <w:autoSpaceDN/>
              <w:bidi w:val="0"/>
              <w:adjustRightInd/>
              <w:snapToGrid/>
              <w:spacing w:line="312" w:lineRule="auto"/>
              <w:jc w:val="both"/>
              <w:textAlignment w:val="center"/>
              <w:rPr>
                <w:rFonts w:hint="eastAsia" w:ascii="仿宋_GB2312" w:hAnsi="仿宋_GB2312" w:eastAsia="仿宋_GB2312" w:cs="仿宋_GB2312"/>
                <w:b w:val="0"/>
                <w:bCs w:val="0"/>
                <w:i w:val="0"/>
                <w:iCs w:val="0"/>
                <w:color w:val="auto"/>
                <w:kern w:val="0"/>
                <w:sz w:val="21"/>
                <w:szCs w:val="21"/>
                <w:highlight w:val="none"/>
                <w:u w:val="none"/>
                <w:lang w:val="en-US" w:eastAsia="zh-CN" w:bidi="ar"/>
              </w:rPr>
            </w:pPr>
            <w:r>
              <w:rPr>
                <w:rFonts w:hint="eastAsia" w:ascii="仿宋_GB2312" w:hAnsi="仿宋_GB2312" w:eastAsia="仿宋_GB2312" w:cs="仿宋_GB2312"/>
                <w:b w:val="0"/>
                <w:bCs w:val="0"/>
                <w:i w:val="0"/>
                <w:iCs w:val="0"/>
                <w:color w:val="auto"/>
                <w:kern w:val="0"/>
                <w:sz w:val="21"/>
                <w:szCs w:val="21"/>
                <w:highlight w:val="none"/>
                <w:u w:val="none"/>
                <w:lang w:val="en-US" w:eastAsia="zh-CN" w:bidi="ar"/>
              </w:rPr>
              <w:t>最新漏洞通告与排查：实时抓取互联网最新漏洞与详细资产信息进行匹配，对最新漏洞进行通告与排查。通告信息中包含最新漏洞信息、服务资产受影响情况。</w:t>
            </w:r>
          </w:p>
          <w:p>
            <w:pPr>
              <w:keepNext w:val="0"/>
              <w:keepLines w:val="0"/>
              <w:pageBreakBefore w:val="0"/>
              <w:widowControl/>
              <w:suppressLineNumbers w:val="0"/>
              <w:kinsoku/>
              <w:wordWrap/>
              <w:overflowPunct/>
              <w:topLinePunct w:val="0"/>
              <w:autoSpaceDE/>
              <w:autoSpaceDN/>
              <w:bidi w:val="0"/>
              <w:adjustRightInd/>
              <w:snapToGrid/>
              <w:spacing w:line="312" w:lineRule="auto"/>
              <w:jc w:val="both"/>
              <w:textAlignment w:val="center"/>
              <w:rPr>
                <w:rFonts w:hint="eastAsia" w:ascii="仿宋_GB2312" w:hAnsi="仿宋_GB2312" w:eastAsia="仿宋_GB2312" w:cs="仿宋_GB2312"/>
                <w:b w:val="0"/>
                <w:bCs w:val="0"/>
                <w:i w:val="0"/>
                <w:iCs w:val="0"/>
                <w:color w:val="auto"/>
                <w:kern w:val="0"/>
                <w:sz w:val="21"/>
                <w:szCs w:val="21"/>
                <w:highlight w:val="none"/>
                <w:u w:val="none"/>
                <w:lang w:val="en-US" w:eastAsia="zh-CN" w:bidi="ar"/>
              </w:rPr>
            </w:pPr>
            <w:r>
              <w:rPr>
                <w:rFonts w:hint="eastAsia" w:ascii="仿宋_GB2312" w:hAnsi="仿宋_GB2312" w:eastAsia="仿宋_GB2312" w:cs="仿宋_GB2312"/>
                <w:b w:val="0"/>
                <w:bCs w:val="0"/>
                <w:i w:val="0"/>
                <w:iCs w:val="0"/>
                <w:color w:val="auto"/>
                <w:kern w:val="0"/>
                <w:sz w:val="21"/>
                <w:szCs w:val="21"/>
                <w:highlight w:val="none"/>
                <w:u w:val="none"/>
                <w:lang w:val="en-US" w:eastAsia="zh-CN" w:bidi="ar"/>
              </w:rPr>
              <w:t>最新漏洞处置指导：一旦确认漏洞影响范围后，安全专家提供专业的处置建议，处置建议包含两部分，修复方案以及临时规避措施。</w:t>
            </w:r>
          </w:p>
          <w:p>
            <w:pPr>
              <w:keepNext w:val="0"/>
              <w:keepLines w:val="0"/>
              <w:pageBreakBefore w:val="0"/>
              <w:widowControl/>
              <w:suppressLineNumbers w:val="0"/>
              <w:kinsoku/>
              <w:wordWrap/>
              <w:overflowPunct/>
              <w:topLinePunct w:val="0"/>
              <w:autoSpaceDE/>
              <w:autoSpaceDN/>
              <w:bidi w:val="0"/>
              <w:adjustRightInd/>
              <w:snapToGrid/>
              <w:spacing w:line="312" w:lineRule="auto"/>
              <w:jc w:val="both"/>
              <w:textAlignment w:val="center"/>
              <w:rPr>
                <w:rFonts w:hint="eastAsia" w:ascii="仿宋_GB2312" w:hAnsi="仿宋_GB2312" w:eastAsia="仿宋_GB2312" w:cs="仿宋_GB2312"/>
                <w:b w:val="0"/>
                <w:bCs w:val="0"/>
                <w:i w:val="0"/>
                <w:iCs w:val="0"/>
                <w:color w:val="auto"/>
                <w:kern w:val="0"/>
                <w:sz w:val="21"/>
                <w:szCs w:val="21"/>
                <w:highlight w:val="none"/>
                <w:u w:val="none"/>
                <w:lang w:val="en-US" w:eastAsia="zh-CN" w:bidi="ar"/>
              </w:rPr>
            </w:pPr>
            <w:r>
              <w:rPr>
                <w:rFonts w:hint="eastAsia" w:ascii="仿宋_GB2312" w:hAnsi="仿宋_GB2312" w:eastAsia="仿宋_GB2312" w:cs="仿宋_GB2312"/>
                <w:b w:val="0"/>
                <w:bCs w:val="0"/>
                <w:i w:val="0"/>
                <w:iCs w:val="0"/>
                <w:color w:val="auto"/>
                <w:kern w:val="0"/>
                <w:sz w:val="21"/>
                <w:szCs w:val="21"/>
                <w:highlight w:val="none"/>
                <w:u w:val="none"/>
                <w:lang w:val="en-US" w:eastAsia="zh-CN" w:bidi="ar"/>
              </w:rPr>
              <w:t>最新漏洞复测与状态跟踪：由安全专家对该最新漏洞建立工单进行持续跟踪。</w:t>
            </w:r>
          </w:p>
          <w:p>
            <w:pPr>
              <w:keepNext w:val="0"/>
              <w:keepLines w:val="0"/>
              <w:pageBreakBefore w:val="0"/>
              <w:widowControl/>
              <w:suppressLineNumbers w:val="0"/>
              <w:kinsoku/>
              <w:wordWrap/>
              <w:overflowPunct/>
              <w:topLinePunct w:val="0"/>
              <w:autoSpaceDE/>
              <w:autoSpaceDN/>
              <w:bidi w:val="0"/>
              <w:adjustRightInd/>
              <w:snapToGrid/>
              <w:spacing w:line="312" w:lineRule="auto"/>
              <w:jc w:val="both"/>
              <w:textAlignment w:val="center"/>
              <w:rPr>
                <w:rFonts w:hint="eastAsia" w:ascii="仿宋_GB2312" w:hAnsi="仿宋_GB2312" w:eastAsia="仿宋_GB2312" w:cs="仿宋_GB2312"/>
                <w:b w:val="0"/>
                <w:bCs w:val="0"/>
                <w:i w:val="0"/>
                <w:iCs w:val="0"/>
                <w:color w:val="auto"/>
                <w:kern w:val="0"/>
                <w:sz w:val="21"/>
                <w:szCs w:val="21"/>
                <w:highlight w:val="none"/>
                <w:u w:val="none"/>
                <w:lang w:val="en-US" w:eastAsia="zh-CN" w:bidi="ar"/>
              </w:rPr>
            </w:pPr>
            <w:r>
              <w:rPr>
                <w:rFonts w:hint="eastAsia" w:ascii="仿宋_GB2312" w:hAnsi="仿宋_GB2312" w:eastAsia="仿宋_GB2312" w:cs="仿宋_GB2312"/>
                <w:b w:val="0"/>
                <w:bCs w:val="0"/>
                <w:i w:val="0"/>
                <w:iCs w:val="0"/>
                <w:color w:val="auto"/>
                <w:kern w:val="0"/>
                <w:sz w:val="21"/>
                <w:szCs w:val="21"/>
                <w:highlight w:val="none"/>
                <w:u w:val="none"/>
                <w:lang w:val="en-US" w:eastAsia="zh-CN" w:bidi="ar"/>
              </w:rPr>
              <w:t>2.2、威胁管理</w:t>
            </w:r>
          </w:p>
          <w:p>
            <w:pPr>
              <w:keepNext w:val="0"/>
              <w:keepLines w:val="0"/>
              <w:pageBreakBefore w:val="0"/>
              <w:widowControl/>
              <w:suppressLineNumbers w:val="0"/>
              <w:kinsoku/>
              <w:wordWrap/>
              <w:overflowPunct/>
              <w:topLinePunct w:val="0"/>
              <w:autoSpaceDE/>
              <w:autoSpaceDN/>
              <w:bidi w:val="0"/>
              <w:adjustRightInd/>
              <w:snapToGrid/>
              <w:spacing w:line="312" w:lineRule="auto"/>
              <w:jc w:val="both"/>
              <w:textAlignment w:val="center"/>
              <w:rPr>
                <w:rFonts w:hint="eastAsia" w:ascii="仿宋_GB2312" w:hAnsi="仿宋_GB2312" w:eastAsia="仿宋_GB2312" w:cs="仿宋_GB2312"/>
                <w:b w:val="0"/>
                <w:bCs w:val="0"/>
                <w:i w:val="0"/>
                <w:iCs w:val="0"/>
                <w:color w:val="auto"/>
                <w:kern w:val="0"/>
                <w:sz w:val="21"/>
                <w:szCs w:val="21"/>
                <w:highlight w:val="none"/>
                <w:u w:val="none"/>
                <w:lang w:val="en-US" w:eastAsia="zh-CN" w:bidi="ar"/>
              </w:rPr>
            </w:pPr>
            <w:r>
              <w:rPr>
                <w:rFonts w:hint="eastAsia" w:ascii="仿宋_GB2312" w:hAnsi="仿宋_GB2312" w:eastAsia="仿宋_GB2312" w:cs="仿宋_GB2312"/>
                <w:b w:val="0"/>
                <w:bCs w:val="0"/>
                <w:i w:val="0"/>
                <w:iCs w:val="0"/>
                <w:color w:val="auto"/>
                <w:kern w:val="0"/>
                <w:sz w:val="21"/>
                <w:szCs w:val="21"/>
                <w:highlight w:val="none"/>
                <w:u w:val="none"/>
                <w:lang w:val="en-US" w:eastAsia="zh-CN" w:bidi="ar"/>
              </w:rPr>
              <w:t>7*24H威胁分析研判：基于云端安全能力平台，云端专家提供7*24小时的威胁监测：依托于安全防护组件、检测响应组件和安全平台，将海量安全数据脱敏，包括漏洞信息、共享威胁情报、异常流量、攻击日志等数据，经由大数据处理平台结合人工智能和云端安全专家使用多种数据分析算法模型进行数据归因关联分析，实时监测网络安全状态，对安全告警和威胁进行分析研判，并生成工单；</w:t>
            </w:r>
          </w:p>
          <w:p>
            <w:pPr>
              <w:keepNext w:val="0"/>
              <w:keepLines w:val="0"/>
              <w:pageBreakBefore w:val="0"/>
              <w:widowControl/>
              <w:suppressLineNumbers w:val="0"/>
              <w:kinsoku/>
              <w:wordWrap/>
              <w:overflowPunct/>
              <w:topLinePunct w:val="0"/>
              <w:autoSpaceDE/>
              <w:autoSpaceDN/>
              <w:bidi w:val="0"/>
              <w:adjustRightInd/>
              <w:snapToGrid/>
              <w:spacing w:line="312" w:lineRule="auto"/>
              <w:jc w:val="both"/>
              <w:textAlignment w:val="center"/>
              <w:rPr>
                <w:rFonts w:hint="eastAsia" w:ascii="仿宋_GB2312" w:hAnsi="仿宋_GB2312" w:eastAsia="仿宋_GB2312" w:cs="仿宋_GB2312"/>
                <w:b w:val="0"/>
                <w:bCs w:val="0"/>
                <w:i w:val="0"/>
                <w:iCs w:val="0"/>
                <w:color w:val="auto"/>
                <w:kern w:val="0"/>
                <w:sz w:val="21"/>
                <w:szCs w:val="21"/>
                <w:highlight w:val="none"/>
                <w:u w:val="none"/>
                <w:lang w:val="en-US" w:eastAsia="zh-CN" w:bidi="ar"/>
              </w:rPr>
            </w:pPr>
            <w:r>
              <w:rPr>
                <w:rFonts w:hint="eastAsia" w:ascii="仿宋_GB2312" w:hAnsi="仿宋_GB2312" w:eastAsia="仿宋_GB2312" w:cs="仿宋_GB2312"/>
                <w:b w:val="0"/>
                <w:bCs w:val="0"/>
                <w:i w:val="0"/>
                <w:iCs w:val="0"/>
                <w:color w:val="auto"/>
                <w:kern w:val="0"/>
                <w:sz w:val="21"/>
                <w:szCs w:val="21"/>
                <w:highlight w:val="none"/>
                <w:u w:val="none"/>
                <w:lang w:val="en-US" w:eastAsia="zh-CN" w:bidi="ar"/>
              </w:rPr>
              <w:t>7*24H威胁通告：安全专家将云端分析确认后的真实威胁、事件实时通过微信、邮件等方式向用户通告，并提供处置建议。</w:t>
            </w:r>
          </w:p>
          <w:p>
            <w:pPr>
              <w:keepNext w:val="0"/>
              <w:keepLines w:val="0"/>
              <w:pageBreakBefore w:val="0"/>
              <w:widowControl/>
              <w:suppressLineNumbers w:val="0"/>
              <w:kinsoku/>
              <w:wordWrap/>
              <w:overflowPunct/>
              <w:topLinePunct w:val="0"/>
              <w:autoSpaceDE/>
              <w:autoSpaceDN/>
              <w:bidi w:val="0"/>
              <w:adjustRightInd/>
              <w:snapToGrid/>
              <w:spacing w:line="312" w:lineRule="auto"/>
              <w:jc w:val="both"/>
              <w:textAlignment w:val="center"/>
              <w:rPr>
                <w:rFonts w:hint="eastAsia" w:ascii="仿宋_GB2312" w:hAnsi="仿宋_GB2312" w:eastAsia="仿宋_GB2312" w:cs="仿宋_GB2312"/>
                <w:b w:val="0"/>
                <w:bCs w:val="0"/>
                <w:i w:val="0"/>
                <w:iCs w:val="0"/>
                <w:color w:val="auto"/>
                <w:kern w:val="0"/>
                <w:sz w:val="21"/>
                <w:szCs w:val="21"/>
                <w:highlight w:val="none"/>
                <w:u w:val="none"/>
                <w:lang w:val="en-US" w:eastAsia="zh-CN" w:bidi="ar"/>
              </w:rPr>
            </w:pPr>
            <w:r>
              <w:rPr>
                <w:rFonts w:hint="eastAsia" w:ascii="仿宋_GB2312" w:hAnsi="仿宋_GB2312" w:eastAsia="仿宋_GB2312" w:cs="仿宋_GB2312"/>
                <w:b w:val="0"/>
                <w:bCs w:val="0"/>
                <w:i w:val="0"/>
                <w:iCs w:val="0"/>
                <w:color w:val="auto"/>
                <w:kern w:val="0"/>
                <w:sz w:val="21"/>
                <w:szCs w:val="21"/>
                <w:highlight w:val="none"/>
                <w:u w:val="none"/>
                <w:lang w:val="en-US" w:eastAsia="zh-CN" w:bidi="ar"/>
              </w:rPr>
              <w:t>威胁影响面分析：安全专家针对每一个真实的威胁和告警，进行深度分析验证，分析判断受影响范围以及是否攻击成功，将深度关联分析的结果通过服务群/邮件等方式告知用户。</w:t>
            </w:r>
          </w:p>
          <w:p>
            <w:pPr>
              <w:keepNext w:val="0"/>
              <w:keepLines w:val="0"/>
              <w:pageBreakBefore w:val="0"/>
              <w:widowControl/>
              <w:suppressLineNumbers w:val="0"/>
              <w:kinsoku/>
              <w:wordWrap/>
              <w:overflowPunct/>
              <w:topLinePunct w:val="0"/>
              <w:autoSpaceDE/>
              <w:autoSpaceDN/>
              <w:bidi w:val="0"/>
              <w:adjustRightInd/>
              <w:snapToGrid/>
              <w:spacing w:line="312" w:lineRule="auto"/>
              <w:jc w:val="both"/>
              <w:textAlignment w:val="center"/>
              <w:rPr>
                <w:rFonts w:hint="eastAsia" w:ascii="仿宋_GB2312" w:hAnsi="仿宋_GB2312" w:eastAsia="仿宋_GB2312" w:cs="仿宋_GB2312"/>
                <w:b w:val="0"/>
                <w:bCs w:val="0"/>
                <w:i w:val="0"/>
                <w:iCs w:val="0"/>
                <w:color w:val="auto"/>
                <w:kern w:val="0"/>
                <w:sz w:val="21"/>
                <w:szCs w:val="21"/>
                <w:highlight w:val="none"/>
                <w:u w:val="none"/>
                <w:lang w:val="en-US" w:eastAsia="zh-CN" w:bidi="ar"/>
              </w:rPr>
            </w:pPr>
            <w:r>
              <w:rPr>
                <w:rFonts w:hint="eastAsia" w:ascii="仿宋_GB2312" w:hAnsi="仿宋_GB2312" w:eastAsia="仿宋_GB2312" w:cs="仿宋_GB2312"/>
                <w:b w:val="0"/>
                <w:bCs w:val="0"/>
                <w:i w:val="0"/>
                <w:iCs w:val="0"/>
                <w:color w:val="auto"/>
                <w:kern w:val="0"/>
                <w:sz w:val="21"/>
                <w:szCs w:val="21"/>
                <w:highlight w:val="none"/>
                <w:u w:val="none"/>
                <w:lang w:val="en-US" w:eastAsia="zh-CN" w:bidi="ar"/>
              </w:rPr>
              <w:t>威胁协助处置：安全专家针对分析结果提供对应的处置或加固建议（如封锁攻击源、设置安全策略防护等措施），并协助用户闭环</w:t>
            </w:r>
          </w:p>
          <w:p>
            <w:pPr>
              <w:keepNext w:val="0"/>
              <w:keepLines w:val="0"/>
              <w:pageBreakBefore w:val="0"/>
              <w:widowControl/>
              <w:suppressLineNumbers w:val="0"/>
              <w:kinsoku/>
              <w:wordWrap/>
              <w:overflowPunct/>
              <w:topLinePunct w:val="0"/>
              <w:autoSpaceDE/>
              <w:autoSpaceDN/>
              <w:bidi w:val="0"/>
              <w:adjustRightInd/>
              <w:snapToGrid/>
              <w:spacing w:line="312" w:lineRule="auto"/>
              <w:jc w:val="both"/>
              <w:textAlignment w:val="center"/>
              <w:rPr>
                <w:rFonts w:hint="eastAsia" w:ascii="仿宋_GB2312" w:hAnsi="仿宋_GB2312" w:eastAsia="仿宋_GB2312" w:cs="仿宋_GB2312"/>
                <w:b w:val="0"/>
                <w:bCs w:val="0"/>
                <w:i w:val="0"/>
                <w:iCs w:val="0"/>
                <w:color w:val="auto"/>
                <w:kern w:val="0"/>
                <w:sz w:val="21"/>
                <w:szCs w:val="21"/>
                <w:highlight w:val="none"/>
                <w:u w:val="none"/>
                <w:lang w:val="en-US" w:eastAsia="zh-CN" w:bidi="ar"/>
              </w:rPr>
            </w:pPr>
            <w:r>
              <w:rPr>
                <w:rFonts w:hint="eastAsia" w:ascii="仿宋_GB2312" w:hAnsi="仿宋_GB2312" w:eastAsia="仿宋_GB2312" w:cs="仿宋_GB2312"/>
                <w:b w:val="0"/>
                <w:bCs w:val="0"/>
                <w:i w:val="0"/>
                <w:iCs w:val="0"/>
                <w:color w:val="auto"/>
                <w:kern w:val="0"/>
                <w:sz w:val="21"/>
                <w:szCs w:val="21"/>
                <w:highlight w:val="none"/>
                <w:u w:val="none"/>
                <w:lang w:val="en-US" w:eastAsia="zh-CN" w:bidi="ar"/>
              </w:rPr>
              <w:t>流行威胁通告与排查：结合威胁情报，安全专家排查是否对服务资产造成影响并通知用户，及时协助进行安全加固。策略检查：每季度安全专家对安全组件上的安全策略进行统一检查，确保安全组件上的安全策略始终处于最优水平，针对威胁能起到最好的防护效果。</w:t>
            </w:r>
          </w:p>
          <w:p>
            <w:pPr>
              <w:keepNext w:val="0"/>
              <w:keepLines w:val="0"/>
              <w:pageBreakBefore w:val="0"/>
              <w:widowControl/>
              <w:suppressLineNumbers w:val="0"/>
              <w:kinsoku/>
              <w:wordWrap/>
              <w:overflowPunct/>
              <w:topLinePunct w:val="0"/>
              <w:autoSpaceDE/>
              <w:autoSpaceDN/>
              <w:bidi w:val="0"/>
              <w:adjustRightInd/>
              <w:snapToGrid/>
              <w:spacing w:line="312" w:lineRule="auto"/>
              <w:jc w:val="both"/>
              <w:textAlignment w:val="center"/>
              <w:rPr>
                <w:rFonts w:hint="eastAsia" w:ascii="仿宋_GB2312" w:hAnsi="仿宋_GB2312" w:eastAsia="仿宋_GB2312" w:cs="仿宋_GB2312"/>
                <w:b w:val="0"/>
                <w:bCs w:val="0"/>
                <w:i w:val="0"/>
                <w:iCs w:val="0"/>
                <w:color w:val="auto"/>
                <w:kern w:val="0"/>
                <w:sz w:val="21"/>
                <w:szCs w:val="21"/>
                <w:highlight w:val="none"/>
                <w:u w:val="none"/>
                <w:lang w:val="en-US" w:eastAsia="zh-CN" w:bidi="ar"/>
              </w:rPr>
            </w:pPr>
            <w:r>
              <w:rPr>
                <w:rFonts w:hint="eastAsia" w:ascii="仿宋_GB2312" w:hAnsi="仿宋_GB2312" w:eastAsia="仿宋_GB2312" w:cs="仿宋_GB2312"/>
                <w:b w:val="0"/>
                <w:bCs w:val="0"/>
                <w:i w:val="0"/>
                <w:iCs w:val="0"/>
                <w:color w:val="auto"/>
                <w:kern w:val="0"/>
                <w:sz w:val="21"/>
                <w:szCs w:val="21"/>
                <w:highlight w:val="none"/>
                <w:u w:val="none"/>
                <w:lang w:val="en-US" w:eastAsia="zh-CN" w:bidi="ar"/>
              </w:rPr>
              <w:t>策略调优：每季度安全专家根据安全威胁/事件分析的结果以及处置方式，按需对安全组件上的安全策略进行调整工作。</w:t>
            </w:r>
          </w:p>
          <w:p>
            <w:pPr>
              <w:keepNext w:val="0"/>
              <w:keepLines w:val="0"/>
              <w:pageBreakBefore w:val="0"/>
              <w:widowControl/>
              <w:suppressLineNumbers w:val="0"/>
              <w:kinsoku/>
              <w:wordWrap/>
              <w:overflowPunct/>
              <w:topLinePunct w:val="0"/>
              <w:autoSpaceDE/>
              <w:autoSpaceDN/>
              <w:bidi w:val="0"/>
              <w:adjustRightInd/>
              <w:snapToGrid/>
              <w:spacing w:line="312" w:lineRule="auto"/>
              <w:jc w:val="both"/>
              <w:textAlignment w:val="center"/>
              <w:rPr>
                <w:rFonts w:hint="eastAsia" w:ascii="仿宋_GB2312" w:hAnsi="仿宋_GB2312" w:eastAsia="仿宋_GB2312" w:cs="仿宋_GB2312"/>
                <w:b w:val="0"/>
                <w:bCs w:val="0"/>
                <w:i w:val="0"/>
                <w:iCs w:val="0"/>
                <w:color w:val="auto"/>
                <w:kern w:val="0"/>
                <w:sz w:val="21"/>
                <w:szCs w:val="21"/>
                <w:highlight w:val="none"/>
                <w:u w:val="none"/>
                <w:lang w:val="en-US" w:eastAsia="zh-CN" w:bidi="ar"/>
              </w:rPr>
            </w:pPr>
            <w:r>
              <w:rPr>
                <w:rFonts w:hint="eastAsia" w:ascii="仿宋_GB2312" w:hAnsi="仿宋_GB2312" w:eastAsia="仿宋_GB2312" w:cs="仿宋_GB2312"/>
                <w:b w:val="0"/>
                <w:bCs w:val="0"/>
                <w:i w:val="0"/>
                <w:iCs w:val="0"/>
                <w:color w:val="auto"/>
                <w:kern w:val="0"/>
                <w:sz w:val="21"/>
                <w:szCs w:val="21"/>
                <w:highlight w:val="none"/>
                <w:u w:val="none"/>
                <w:lang w:val="en-US" w:eastAsia="zh-CN" w:bidi="ar"/>
              </w:rPr>
              <w:t>2.3、事件管理</w:t>
            </w:r>
          </w:p>
          <w:p>
            <w:pPr>
              <w:keepNext w:val="0"/>
              <w:keepLines w:val="0"/>
              <w:pageBreakBefore w:val="0"/>
              <w:widowControl/>
              <w:suppressLineNumbers w:val="0"/>
              <w:kinsoku/>
              <w:wordWrap/>
              <w:overflowPunct/>
              <w:topLinePunct w:val="0"/>
              <w:autoSpaceDE/>
              <w:autoSpaceDN/>
              <w:bidi w:val="0"/>
              <w:adjustRightInd/>
              <w:snapToGrid/>
              <w:spacing w:line="312" w:lineRule="auto"/>
              <w:jc w:val="both"/>
              <w:textAlignment w:val="center"/>
              <w:rPr>
                <w:rFonts w:hint="eastAsia" w:ascii="仿宋_GB2312" w:hAnsi="仿宋_GB2312" w:eastAsia="仿宋_GB2312" w:cs="仿宋_GB2312"/>
                <w:b w:val="0"/>
                <w:bCs w:val="0"/>
                <w:i w:val="0"/>
                <w:iCs w:val="0"/>
                <w:color w:val="auto"/>
                <w:kern w:val="0"/>
                <w:sz w:val="21"/>
                <w:szCs w:val="21"/>
                <w:highlight w:val="none"/>
                <w:u w:val="none"/>
                <w:lang w:val="en-US" w:eastAsia="zh-CN" w:bidi="ar"/>
              </w:rPr>
            </w:pPr>
            <w:r>
              <w:rPr>
                <w:rFonts w:hint="eastAsia" w:ascii="仿宋_GB2312" w:hAnsi="仿宋_GB2312" w:eastAsia="仿宋_GB2312" w:cs="仿宋_GB2312"/>
                <w:b w:val="0"/>
                <w:bCs w:val="0"/>
                <w:i w:val="0"/>
                <w:iCs w:val="0"/>
                <w:color w:val="auto"/>
                <w:kern w:val="0"/>
                <w:sz w:val="21"/>
                <w:szCs w:val="21"/>
                <w:highlight w:val="none"/>
                <w:u w:val="none"/>
                <w:lang w:val="en-US" w:eastAsia="zh-CN" w:bidi="ar"/>
              </w:rPr>
              <w:t>安全事件调查与分析：安全专家7*24H在线服务，针对主机发生的安全事件开展调查分析和影响面分析，对发生的安全事件进行人工鉴定和举证分析。</w:t>
            </w:r>
          </w:p>
          <w:p>
            <w:pPr>
              <w:keepNext w:val="0"/>
              <w:keepLines w:val="0"/>
              <w:pageBreakBefore w:val="0"/>
              <w:widowControl/>
              <w:suppressLineNumbers w:val="0"/>
              <w:kinsoku/>
              <w:wordWrap/>
              <w:overflowPunct/>
              <w:topLinePunct w:val="0"/>
              <w:autoSpaceDE/>
              <w:autoSpaceDN/>
              <w:bidi w:val="0"/>
              <w:adjustRightInd/>
              <w:snapToGrid/>
              <w:spacing w:line="312" w:lineRule="auto"/>
              <w:jc w:val="both"/>
              <w:textAlignment w:val="center"/>
              <w:rPr>
                <w:rFonts w:hint="eastAsia" w:ascii="仿宋_GB2312" w:hAnsi="仿宋_GB2312" w:eastAsia="仿宋_GB2312" w:cs="仿宋_GB2312"/>
                <w:b w:val="0"/>
                <w:bCs w:val="0"/>
                <w:i w:val="0"/>
                <w:iCs w:val="0"/>
                <w:color w:val="auto"/>
                <w:kern w:val="0"/>
                <w:sz w:val="21"/>
                <w:szCs w:val="21"/>
                <w:highlight w:val="none"/>
                <w:u w:val="none"/>
                <w:lang w:val="en-US" w:eastAsia="zh-CN" w:bidi="ar"/>
              </w:rPr>
            </w:pPr>
            <w:r>
              <w:rPr>
                <w:rFonts w:hint="eastAsia" w:ascii="仿宋_GB2312" w:hAnsi="仿宋_GB2312" w:eastAsia="仿宋_GB2312" w:cs="仿宋_GB2312"/>
                <w:b w:val="0"/>
                <w:bCs w:val="0"/>
                <w:i w:val="0"/>
                <w:iCs w:val="0"/>
                <w:color w:val="auto"/>
                <w:kern w:val="0"/>
                <w:sz w:val="21"/>
                <w:szCs w:val="21"/>
                <w:highlight w:val="none"/>
                <w:u w:val="none"/>
                <w:lang w:val="en-US" w:eastAsia="zh-CN" w:bidi="ar"/>
              </w:rPr>
              <w:t>安全事件处置：对客户网络内服务资产爆发勒索病毒、挖矿病毒、篡改事件、webshell、僵尸网络等安全事件，利用一些工具和脚本对恶意文件、代码进行根除，帮助客户快速恢复业务，消除或减轻影响。安全事件跟踪闭环：对发生的安全事件进行分级分类，并通过事件工单跟踪处置的情况，保障安全事件闭环。</w:t>
            </w:r>
          </w:p>
          <w:p>
            <w:pPr>
              <w:keepNext w:val="0"/>
              <w:keepLines w:val="0"/>
              <w:pageBreakBefore w:val="0"/>
              <w:widowControl/>
              <w:suppressLineNumbers w:val="0"/>
              <w:kinsoku/>
              <w:wordWrap/>
              <w:overflowPunct/>
              <w:topLinePunct w:val="0"/>
              <w:autoSpaceDE/>
              <w:autoSpaceDN/>
              <w:bidi w:val="0"/>
              <w:adjustRightInd/>
              <w:snapToGrid/>
              <w:spacing w:line="312" w:lineRule="auto"/>
              <w:jc w:val="both"/>
              <w:textAlignment w:val="center"/>
              <w:rPr>
                <w:rFonts w:hint="eastAsia" w:ascii="仿宋_GB2312" w:hAnsi="仿宋_GB2312" w:eastAsia="仿宋_GB2312" w:cs="仿宋_GB2312"/>
                <w:b w:val="0"/>
                <w:bCs w:val="0"/>
                <w:i w:val="0"/>
                <w:iCs w:val="0"/>
                <w:color w:val="auto"/>
                <w:kern w:val="0"/>
                <w:sz w:val="21"/>
                <w:szCs w:val="21"/>
                <w:highlight w:val="none"/>
                <w:u w:val="none"/>
                <w:lang w:val="en-US" w:eastAsia="zh-CN" w:bidi="ar"/>
              </w:rPr>
            </w:pPr>
            <w:r>
              <w:rPr>
                <w:rFonts w:hint="eastAsia" w:ascii="仿宋_GB2312" w:hAnsi="仿宋_GB2312" w:eastAsia="仿宋_GB2312" w:cs="仿宋_GB2312"/>
                <w:b w:val="0"/>
                <w:bCs w:val="0"/>
                <w:i w:val="0"/>
                <w:iCs w:val="0"/>
                <w:color w:val="auto"/>
                <w:kern w:val="0"/>
                <w:sz w:val="21"/>
                <w:szCs w:val="21"/>
                <w:highlight w:val="none"/>
                <w:u w:val="none"/>
                <w:lang w:val="en-US" w:eastAsia="zh-CN" w:bidi="ar"/>
              </w:rPr>
              <w:t>重大事件应急响应：通过事件检测分析，提供抑制手段，降低入侵影响，协助快速恢复业务。排查攻击路径、恶意文件等。还原攻击路径，分析入侵事件原因，提供安全事件溯源结果。结合现有安全防御体系，指导用户进行安全加固、提供整改建议、防止再次入侵。</w:t>
            </w:r>
          </w:p>
          <w:p>
            <w:pPr>
              <w:keepNext w:val="0"/>
              <w:keepLines w:val="0"/>
              <w:pageBreakBefore w:val="0"/>
              <w:widowControl/>
              <w:suppressLineNumbers w:val="0"/>
              <w:kinsoku/>
              <w:wordWrap/>
              <w:overflowPunct/>
              <w:topLinePunct w:val="0"/>
              <w:autoSpaceDE/>
              <w:autoSpaceDN/>
              <w:bidi w:val="0"/>
              <w:adjustRightInd/>
              <w:snapToGrid/>
              <w:spacing w:line="312" w:lineRule="auto"/>
              <w:jc w:val="both"/>
              <w:textAlignment w:val="center"/>
              <w:rPr>
                <w:rFonts w:hint="eastAsia" w:ascii="仿宋_GB2312" w:hAnsi="仿宋_GB2312" w:eastAsia="仿宋_GB2312" w:cs="仿宋_GB2312"/>
                <w:b w:val="0"/>
                <w:bCs w:val="0"/>
                <w:i w:val="0"/>
                <w:iCs w:val="0"/>
                <w:color w:val="auto"/>
                <w:kern w:val="0"/>
                <w:sz w:val="21"/>
                <w:szCs w:val="21"/>
                <w:highlight w:val="none"/>
                <w:u w:val="none"/>
                <w:lang w:val="en-US" w:eastAsia="zh-CN" w:bidi="ar"/>
              </w:rPr>
            </w:pPr>
            <w:r>
              <w:rPr>
                <w:rFonts w:hint="eastAsia" w:ascii="仿宋_GB2312" w:hAnsi="仿宋_GB2312" w:eastAsia="仿宋_GB2312" w:cs="仿宋_GB2312"/>
                <w:b w:val="0"/>
                <w:bCs w:val="0"/>
                <w:i w:val="0"/>
                <w:iCs w:val="0"/>
                <w:color w:val="auto"/>
                <w:kern w:val="0"/>
                <w:sz w:val="21"/>
                <w:szCs w:val="21"/>
                <w:highlight w:val="none"/>
                <w:u w:val="none"/>
                <w:lang w:val="en-US" w:eastAsia="zh-CN" w:bidi="ar"/>
              </w:rPr>
              <w:t>3、运营成果可视</w:t>
            </w:r>
          </w:p>
          <w:p>
            <w:pPr>
              <w:keepNext w:val="0"/>
              <w:keepLines w:val="0"/>
              <w:pageBreakBefore w:val="0"/>
              <w:widowControl/>
              <w:suppressLineNumbers w:val="0"/>
              <w:kinsoku/>
              <w:wordWrap/>
              <w:overflowPunct/>
              <w:topLinePunct w:val="0"/>
              <w:autoSpaceDE/>
              <w:autoSpaceDN/>
              <w:bidi w:val="0"/>
              <w:adjustRightInd/>
              <w:snapToGrid/>
              <w:spacing w:line="312" w:lineRule="auto"/>
              <w:jc w:val="both"/>
              <w:textAlignment w:val="center"/>
              <w:rPr>
                <w:rFonts w:hint="eastAsia" w:ascii="仿宋_GB2312" w:hAnsi="仿宋_GB2312" w:eastAsia="仿宋_GB2312" w:cs="仿宋_GB2312"/>
                <w:b w:val="0"/>
                <w:bCs w:val="0"/>
                <w:i w:val="0"/>
                <w:iCs w:val="0"/>
                <w:color w:val="auto"/>
                <w:kern w:val="0"/>
                <w:sz w:val="21"/>
                <w:szCs w:val="21"/>
                <w:highlight w:val="none"/>
                <w:u w:val="none"/>
                <w:lang w:val="en-US" w:eastAsia="zh-CN" w:bidi="ar"/>
              </w:rPr>
            </w:pPr>
            <w:r>
              <w:rPr>
                <w:rFonts w:hint="eastAsia" w:ascii="仿宋_GB2312" w:hAnsi="仿宋_GB2312" w:eastAsia="仿宋_GB2312" w:cs="仿宋_GB2312"/>
                <w:b w:val="0"/>
                <w:bCs w:val="0"/>
                <w:i w:val="0"/>
                <w:iCs w:val="0"/>
                <w:color w:val="auto"/>
                <w:kern w:val="0"/>
                <w:sz w:val="21"/>
                <w:szCs w:val="21"/>
                <w:highlight w:val="none"/>
                <w:u w:val="none"/>
                <w:lang w:val="en-US" w:eastAsia="zh-CN" w:bidi="ar"/>
              </w:rPr>
              <w:t>安全运营周报：安全专家每周对服务资产进行安全运营情况的分析总结并输出《安全运营周报》。</w:t>
            </w:r>
          </w:p>
          <w:p>
            <w:pPr>
              <w:keepNext w:val="0"/>
              <w:keepLines w:val="0"/>
              <w:pageBreakBefore w:val="0"/>
              <w:widowControl/>
              <w:suppressLineNumbers w:val="0"/>
              <w:kinsoku/>
              <w:wordWrap/>
              <w:overflowPunct/>
              <w:topLinePunct w:val="0"/>
              <w:autoSpaceDE/>
              <w:autoSpaceDN/>
              <w:bidi w:val="0"/>
              <w:adjustRightInd/>
              <w:snapToGrid/>
              <w:spacing w:line="312" w:lineRule="auto"/>
              <w:jc w:val="both"/>
              <w:textAlignment w:val="center"/>
              <w:rPr>
                <w:rFonts w:hint="eastAsia" w:ascii="仿宋_GB2312" w:hAnsi="仿宋_GB2312" w:eastAsia="仿宋_GB2312" w:cs="仿宋_GB2312"/>
                <w:b w:val="0"/>
                <w:bCs w:val="0"/>
                <w:i w:val="0"/>
                <w:iCs w:val="0"/>
                <w:color w:val="auto"/>
                <w:kern w:val="0"/>
                <w:sz w:val="21"/>
                <w:szCs w:val="21"/>
                <w:highlight w:val="none"/>
                <w:u w:val="none"/>
                <w:lang w:val="en-US" w:eastAsia="zh-CN" w:bidi="ar"/>
              </w:rPr>
            </w:pPr>
            <w:r>
              <w:rPr>
                <w:rFonts w:hint="eastAsia" w:ascii="仿宋_GB2312" w:hAnsi="仿宋_GB2312" w:eastAsia="仿宋_GB2312" w:cs="仿宋_GB2312"/>
                <w:b w:val="0"/>
                <w:bCs w:val="0"/>
                <w:i w:val="0"/>
                <w:iCs w:val="0"/>
                <w:color w:val="auto"/>
                <w:kern w:val="0"/>
                <w:sz w:val="21"/>
                <w:szCs w:val="21"/>
                <w:highlight w:val="none"/>
                <w:u w:val="none"/>
                <w:lang w:val="en-US" w:eastAsia="zh-CN" w:bidi="ar"/>
              </w:rPr>
              <w:t>安全运营月报：安全专家每月对服务资产及整体安全状况进行分析总结并输出《安全运营月报》。</w:t>
            </w:r>
          </w:p>
          <w:p>
            <w:pPr>
              <w:keepNext w:val="0"/>
              <w:keepLines w:val="0"/>
              <w:pageBreakBefore w:val="0"/>
              <w:widowControl/>
              <w:suppressLineNumbers w:val="0"/>
              <w:kinsoku/>
              <w:wordWrap/>
              <w:overflowPunct/>
              <w:topLinePunct w:val="0"/>
              <w:autoSpaceDE/>
              <w:autoSpaceDN/>
              <w:bidi w:val="0"/>
              <w:adjustRightInd/>
              <w:snapToGrid/>
              <w:spacing w:line="312" w:lineRule="auto"/>
              <w:jc w:val="both"/>
              <w:textAlignment w:val="center"/>
              <w:rPr>
                <w:rFonts w:hint="eastAsia" w:ascii="仿宋_GB2312" w:hAnsi="仿宋_GB2312" w:eastAsia="仿宋_GB2312" w:cs="仿宋_GB2312"/>
                <w:b w:val="0"/>
                <w:bCs w:val="0"/>
                <w:i w:val="0"/>
                <w:iCs w:val="0"/>
                <w:color w:val="auto"/>
                <w:kern w:val="0"/>
                <w:sz w:val="21"/>
                <w:szCs w:val="21"/>
                <w:highlight w:val="none"/>
                <w:u w:val="none"/>
                <w:lang w:val="en-US" w:eastAsia="zh-CN" w:bidi="ar"/>
              </w:rPr>
            </w:pPr>
            <w:r>
              <w:rPr>
                <w:rFonts w:hint="eastAsia" w:ascii="仿宋_GB2312" w:hAnsi="仿宋_GB2312" w:eastAsia="仿宋_GB2312" w:cs="仿宋_GB2312"/>
                <w:b w:val="0"/>
                <w:bCs w:val="0"/>
                <w:i w:val="0"/>
                <w:iCs w:val="0"/>
                <w:color w:val="auto"/>
                <w:kern w:val="0"/>
                <w:sz w:val="21"/>
                <w:szCs w:val="21"/>
                <w:highlight w:val="none"/>
                <w:u w:val="none"/>
                <w:lang w:val="en-US" w:eastAsia="zh-CN" w:bidi="ar"/>
              </w:rPr>
              <w:t>安全运营半年度汇报：安全专家每半年总结阶段性安全运营情况并输出《半年度总结报告》发送给用户，向用户进行远程总结汇报。</w:t>
            </w:r>
          </w:p>
          <w:p>
            <w:pPr>
              <w:keepNext w:val="0"/>
              <w:keepLines w:val="0"/>
              <w:pageBreakBefore w:val="0"/>
              <w:widowControl/>
              <w:suppressLineNumbers w:val="0"/>
              <w:kinsoku/>
              <w:wordWrap/>
              <w:overflowPunct/>
              <w:topLinePunct w:val="0"/>
              <w:autoSpaceDE/>
              <w:autoSpaceDN/>
              <w:bidi w:val="0"/>
              <w:adjustRightInd/>
              <w:snapToGrid/>
              <w:spacing w:line="312" w:lineRule="auto"/>
              <w:jc w:val="both"/>
              <w:textAlignment w:val="center"/>
              <w:rPr>
                <w:rFonts w:hint="eastAsia" w:ascii="仿宋_GB2312" w:hAnsi="仿宋_GB2312" w:eastAsia="仿宋_GB2312" w:cs="仿宋_GB2312"/>
                <w:b w:val="0"/>
                <w:bCs w:val="0"/>
                <w:i w:val="0"/>
                <w:iCs w:val="0"/>
                <w:color w:val="auto"/>
                <w:kern w:val="0"/>
                <w:sz w:val="21"/>
                <w:szCs w:val="21"/>
                <w:highlight w:val="none"/>
                <w:u w:val="none"/>
                <w:lang w:val="en-US" w:eastAsia="zh-CN" w:bidi="ar"/>
              </w:rPr>
            </w:pPr>
            <w:r>
              <w:rPr>
                <w:rFonts w:hint="eastAsia" w:ascii="仿宋_GB2312" w:hAnsi="仿宋_GB2312" w:eastAsia="仿宋_GB2312" w:cs="仿宋_GB2312"/>
                <w:b w:val="0"/>
                <w:bCs w:val="0"/>
                <w:i w:val="0"/>
                <w:iCs w:val="0"/>
                <w:color w:val="auto"/>
                <w:kern w:val="0"/>
                <w:sz w:val="21"/>
                <w:szCs w:val="21"/>
                <w:highlight w:val="none"/>
                <w:u w:val="none"/>
                <w:lang w:val="en-US" w:eastAsia="zh-CN" w:bidi="ar"/>
              </w:rPr>
              <w:t>安全运营年度汇报：安全专家总结年度安全运营情况并输出《年度总结报告》发送给用户，向用户进行总结汇报。</w:t>
            </w:r>
          </w:p>
          <w:p>
            <w:pPr>
              <w:keepNext w:val="0"/>
              <w:keepLines w:val="0"/>
              <w:pageBreakBefore w:val="0"/>
              <w:widowControl/>
              <w:suppressLineNumbers w:val="0"/>
              <w:kinsoku/>
              <w:wordWrap/>
              <w:overflowPunct/>
              <w:topLinePunct w:val="0"/>
              <w:autoSpaceDE/>
              <w:autoSpaceDN/>
              <w:bidi w:val="0"/>
              <w:adjustRightInd/>
              <w:snapToGrid/>
              <w:spacing w:line="312" w:lineRule="auto"/>
              <w:jc w:val="both"/>
              <w:textAlignment w:val="center"/>
              <w:rPr>
                <w:rFonts w:hint="eastAsia" w:ascii="仿宋_GB2312" w:hAnsi="仿宋_GB2312" w:eastAsia="仿宋_GB2312" w:cs="仿宋_GB2312"/>
                <w:b w:val="0"/>
                <w:bCs w:val="0"/>
                <w:i w:val="0"/>
                <w:iCs w:val="0"/>
                <w:color w:val="auto"/>
                <w:kern w:val="0"/>
                <w:sz w:val="21"/>
                <w:szCs w:val="21"/>
                <w:highlight w:val="none"/>
                <w:u w:val="none"/>
                <w:lang w:val="en-US" w:eastAsia="zh-CN" w:bidi="ar"/>
              </w:rPr>
            </w:pPr>
            <w:r>
              <w:rPr>
                <w:rFonts w:hint="eastAsia" w:ascii="仿宋_GB2312" w:hAnsi="仿宋_GB2312" w:eastAsia="仿宋_GB2312" w:cs="仿宋_GB2312"/>
                <w:b w:val="0"/>
                <w:bCs w:val="0"/>
                <w:i w:val="0"/>
                <w:iCs w:val="0"/>
                <w:color w:val="auto"/>
                <w:kern w:val="0"/>
                <w:sz w:val="21"/>
                <w:szCs w:val="21"/>
                <w:highlight w:val="none"/>
                <w:u w:val="none"/>
                <w:lang w:val="en-US" w:eastAsia="zh-CN" w:bidi="ar"/>
              </w:rPr>
              <w:t>用户Portal：可视化portal支持随时查看服务范围内业务资产安全状态。支持在线展示所有脆弱性、威胁、事件工单的处置进程和结果支持用户在线对服务SLA进行查阅和监督。</w:t>
            </w:r>
          </w:p>
          <w:p>
            <w:pPr>
              <w:pStyle w:val="2"/>
              <w:ind w:left="0" w:leftChars="0" w:firstLine="0" w:firstLineChars="0"/>
              <w:jc w:val="both"/>
              <w:rPr>
                <w:rFonts w:hint="eastAsia" w:ascii="仿宋_GB2312" w:hAnsi="仿宋_GB2312" w:eastAsia="仿宋_GB2312" w:cs="仿宋_GB2312"/>
                <w:b w:val="0"/>
                <w:bCs w:val="0"/>
                <w:i w:val="0"/>
                <w:iCs w:val="0"/>
                <w:color w:val="auto"/>
                <w:kern w:val="0"/>
                <w:sz w:val="21"/>
                <w:szCs w:val="21"/>
                <w:highlight w:val="none"/>
                <w:u w:val="none"/>
                <w:lang w:val="en-US" w:eastAsia="zh-CN" w:bidi="ar"/>
              </w:rPr>
            </w:pPr>
            <w:r>
              <w:rPr>
                <w:rFonts w:hint="eastAsia" w:ascii="仿宋_GB2312" w:hAnsi="仿宋_GB2312" w:eastAsia="仿宋_GB2312" w:cs="仿宋_GB2312"/>
                <w:b w:val="0"/>
                <w:bCs w:val="0"/>
                <w:i w:val="0"/>
                <w:iCs w:val="0"/>
                <w:color w:val="auto"/>
                <w:kern w:val="0"/>
                <w:sz w:val="21"/>
                <w:szCs w:val="21"/>
                <w:highlight w:val="none"/>
                <w:u w:val="none"/>
                <w:lang w:val="en-US" w:eastAsia="zh-CN" w:bidi="ar"/>
              </w:rPr>
              <w:t>4、人员配置</w:t>
            </w:r>
          </w:p>
          <w:p>
            <w:pPr>
              <w:pStyle w:val="2"/>
              <w:ind w:left="0" w:leftChars="0" w:firstLine="0" w:firstLineChars="0"/>
              <w:jc w:val="both"/>
              <w:rPr>
                <w:rFonts w:hint="eastAsia" w:ascii="仿宋_GB2312" w:hAnsi="仿宋_GB2312" w:eastAsia="仿宋_GB2312" w:cs="仿宋_GB2312"/>
                <w:b w:val="0"/>
                <w:bCs w:val="0"/>
                <w:i w:val="0"/>
                <w:iCs w:val="0"/>
                <w:color w:val="auto"/>
                <w:kern w:val="0"/>
                <w:sz w:val="21"/>
                <w:szCs w:val="21"/>
                <w:highlight w:val="none"/>
                <w:u w:val="none"/>
                <w:lang w:val="en-US" w:eastAsia="zh-CN" w:bidi="ar"/>
              </w:rPr>
            </w:pPr>
            <w:r>
              <w:rPr>
                <w:rFonts w:hint="eastAsia" w:ascii="仿宋_GB2312" w:hAnsi="仿宋_GB2312" w:eastAsia="仿宋_GB2312" w:cs="仿宋_GB2312"/>
                <w:b w:val="0"/>
                <w:bCs w:val="0"/>
                <w:i w:val="0"/>
                <w:iCs w:val="0"/>
                <w:color w:val="auto"/>
                <w:kern w:val="0"/>
                <w:sz w:val="21"/>
                <w:szCs w:val="21"/>
                <w:highlight w:val="none"/>
                <w:u w:val="none"/>
                <w:lang w:val="en-US" w:eastAsia="zh-CN" w:bidi="ar"/>
              </w:rPr>
              <w:t>供应商需具备信息安全风险评估认证以及信息安全应急处理认证，供应商获得CCRC信息安全风险评估认证证书安全服务团队不少于5人，至少包含一渗透测试专家，二名注册渗透测试工程师，二名注册信息安全工程师。</w:t>
            </w:r>
          </w:p>
          <w:p>
            <w:pPr>
              <w:keepNext w:val="0"/>
              <w:keepLines w:val="0"/>
              <w:pageBreakBefore w:val="0"/>
              <w:widowControl/>
              <w:suppressLineNumbers w:val="0"/>
              <w:kinsoku/>
              <w:wordWrap/>
              <w:overflowPunct/>
              <w:topLinePunct w:val="0"/>
              <w:autoSpaceDE/>
              <w:autoSpaceDN/>
              <w:bidi w:val="0"/>
              <w:adjustRightInd/>
              <w:snapToGrid/>
              <w:spacing w:line="312" w:lineRule="auto"/>
              <w:jc w:val="both"/>
              <w:textAlignment w:val="center"/>
              <w:rPr>
                <w:rFonts w:hint="eastAsia" w:ascii="仿宋_GB2312" w:hAnsi="仿宋_GB2312" w:eastAsia="仿宋_GB2312" w:cs="仿宋_GB2312"/>
                <w:b w:val="0"/>
                <w:bCs w:val="0"/>
                <w:i w:val="0"/>
                <w:iCs w:val="0"/>
                <w:color w:val="auto"/>
                <w:kern w:val="0"/>
                <w:sz w:val="21"/>
                <w:szCs w:val="21"/>
                <w:highlight w:val="none"/>
                <w:u w:val="none"/>
                <w:lang w:val="en-US" w:eastAsia="zh-CN" w:bidi="ar"/>
              </w:rPr>
            </w:pPr>
            <w:r>
              <w:rPr>
                <w:rFonts w:hint="eastAsia" w:ascii="仿宋_GB2312" w:hAnsi="仿宋_GB2312" w:eastAsia="仿宋_GB2312" w:cs="仿宋_GB2312"/>
                <w:b w:val="0"/>
                <w:bCs w:val="0"/>
                <w:i w:val="0"/>
                <w:iCs w:val="0"/>
                <w:color w:val="auto"/>
                <w:kern w:val="0"/>
                <w:sz w:val="21"/>
                <w:szCs w:val="21"/>
                <w:highlight w:val="none"/>
                <w:u w:val="none"/>
                <w:lang w:val="en-US" w:eastAsia="zh-CN" w:bidi="ar"/>
              </w:rPr>
              <w:t>三、服务交付物</w:t>
            </w:r>
          </w:p>
          <w:p>
            <w:pPr>
              <w:keepNext w:val="0"/>
              <w:keepLines w:val="0"/>
              <w:pageBreakBefore w:val="0"/>
              <w:widowControl/>
              <w:suppressLineNumbers w:val="0"/>
              <w:kinsoku/>
              <w:wordWrap/>
              <w:overflowPunct/>
              <w:topLinePunct w:val="0"/>
              <w:autoSpaceDE/>
              <w:autoSpaceDN/>
              <w:bidi w:val="0"/>
              <w:adjustRightInd/>
              <w:snapToGrid/>
              <w:spacing w:line="312" w:lineRule="auto"/>
              <w:jc w:val="both"/>
              <w:textAlignment w:val="center"/>
              <w:rPr>
                <w:rFonts w:hint="eastAsia" w:ascii="仿宋_GB2312" w:hAnsi="仿宋_GB2312" w:eastAsia="仿宋_GB2312" w:cs="仿宋_GB2312"/>
                <w:b w:val="0"/>
                <w:bCs w:val="0"/>
                <w:i w:val="0"/>
                <w:iCs w:val="0"/>
                <w:color w:val="auto"/>
                <w:kern w:val="0"/>
                <w:sz w:val="21"/>
                <w:szCs w:val="21"/>
                <w:highlight w:val="none"/>
                <w:u w:val="none"/>
                <w:lang w:val="en-US" w:eastAsia="zh-CN" w:bidi="ar"/>
              </w:rPr>
            </w:pPr>
            <w:r>
              <w:rPr>
                <w:rFonts w:hint="eastAsia" w:ascii="仿宋_GB2312" w:hAnsi="仿宋_GB2312" w:eastAsia="仿宋_GB2312" w:cs="仿宋_GB2312"/>
                <w:b w:val="0"/>
                <w:bCs w:val="0"/>
                <w:i w:val="0"/>
                <w:iCs w:val="0"/>
                <w:color w:val="auto"/>
                <w:kern w:val="0"/>
                <w:sz w:val="21"/>
                <w:szCs w:val="21"/>
                <w:highlight w:val="none"/>
                <w:u w:val="none"/>
                <w:lang w:val="en-US" w:eastAsia="zh-CN" w:bidi="ar"/>
              </w:rPr>
              <w:t>《项目启动会PPT》、《首次安全威胁分析报告》《漏洞举证报告》、《漏洞清单》、《应急响应报告》、《事件处置报告》、《威胁情报》、《安全运营周报》、《安全运营月报》、《半年度总结汇报》、《年度总结汇报》</w:t>
            </w:r>
          </w:p>
        </w:tc>
        <w:tc>
          <w:tcPr>
            <w:tcW w:w="653" w:type="pct"/>
            <w:tcBorders>
              <w:tl2br w:val="nil"/>
              <w:tr2bl w:val="nil"/>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312" w:lineRule="auto"/>
              <w:jc w:val="both"/>
              <w:textAlignment w:val="center"/>
              <w:rPr>
                <w:rFonts w:hint="eastAsia" w:ascii="仿宋_GB2312" w:hAnsi="仿宋_GB2312" w:eastAsia="仿宋_GB2312" w:cs="仿宋_GB2312"/>
                <w:b w:val="0"/>
                <w:bCs w:val="0"/>
                <w:i w:val="0"/>
                <w:iCs w:val="0"/>
                <w:color w:val="auto"/>
                <w:sz w:val="21"/>
                <w:szCs w:val="21"/>
                <w:highlight w:val="none"/>
                <w:u w:val="none"/>
                <w:lang w:val="en-US" w:eastAsia="zh-CN"/>
              </w:rPr>
            </w:pPr>
            <w:r>
              <w:rPr>
                <w:rFonts w:hint="eastAsia" w:ascii="仿宋_GB2312" w:hAnsi="仿宋_GB2312" w:eastAsia="仿宋_GB2312" w:cs="仿宋_GB2312"/>
                <w:b w:val="0"/>
                <w:bCs w:val="0"/>
                <w:i w:val="0"/>
                <w:iCs w:val="0"/>
                <w:color w:val="auto"/>
                <w:sz w:val="21"/>
                <w:szCs w:val="21"/>
                <w:highlight w:val="none"/>
                <w:u w:val="none"/>
                <w:lang w:val="en-US" w:eastAsia="zh-CN"/>
              </w:rPr>
              <w:t>2年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128" w:hRule="atLeast"/>
          <w:jc w:val="center"/>
        </w:trPr>
        <w:tc>
          <w:tcPr>
            <w:tcW w:w="392" w:type="pct"/>
            <w:tcBorders>
              <w:tl2br w:val="nil"/>
              <w:tr2bl w:val="nil"/>
            </w:tcBorders>
            <w:shd w:val="clear" w:color="auto" w:fill="auto"/>
            <w:vAlign w:val="top"/>
          </w:tcPr>
          <w:p>
            <w:pPr>
              <w:pStyle w:val="5"/>
              <w:pageBreakBefore w:val="0"/>
              <w:numPr>
                <w:ilvl w:val="3"/>
                <w:numId w:val="0"/>
              </w:numPr>
              <w:kinsoku/>
              <w:wordWrap/>
              <w:overflowPunct/>
              <w:topLinePunct w:val="0"/>
              <w:autoSpaceDE/>
              <w:autoSpaceDN/>
              <w:bidi w:val="0"/>
              <w:spacing w:line="312" w:lineRule="auto"/>
              <w:ind w:leftChars="0"/>
              <w:jc w:val="both"/>
              <w:rPr>
                <w:rFonts w:hint="default" w:ascii="仿宋_GB2312" w:hAnsi="仿宋_GB2312" w:eastAsia="仿宋_GB2312" w:cs="仿宋_GB2312"/>
                <w:b/>
                <w:bCs/>
                <w:i w:val="0"/>
                <w:iCs w:val="0"/>
                <w:color w:val="auto"/>
                <w:kern w:val="0"/>
                <w:sz w:val="21"/>
                <w:szCs w:val="21"/>
                <w:highlight w:val="none"/>
                <w:u w:val="none"/>
                <w:lang w:val="en-US" w:eastAsia="zh-CN" w:bidi="ar"/>
              </w:rPr>
            </w:pPr>
            <w:r>
              <w:rPr>
                <w:rFonts w:hint="eastAsia" w:ascii="仿宋_GB2312" w:hAnsi="仿宋_GB2312" w:eastAsia="仿宋_GB2312" w:cs="仿宋_GB2312"/>
                <w:b w:val="0"/>
                <w:bCs w:val="0"/>
                <w:i w:val="0"/>
                <w:iCs w:val="0"/>
                <w:color w:val="auto"/>
                <w:kern w:val="0"/>
                <w:sz w:val="21"/>
                <w:szCs w:val="21"/>
                <w:highlight w:val="none"/>
                <w:u w:val="none"/>
                <w:lang w:val="en-US" w:eastAsia="zh-CN" w:bidi="ar"/>
              </w:rPr>
              <w:t>7</w:t>
            </w:r>
          </w:p>
        </w:tc>
        <w:tc>
          <w:tcPr>
            <w:tcW w:w="398" w:type="pct"/>
            <w:tcBorders>
              <w:tl2br w:val="nil"/>
              <w:tr2bl w:val="nil"/>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312" w:lineRule="auto"/>
              <w:jc w:val="both"/>
              <w:textAlignment w:val="center"/>
              <w:rPr>
                <w:rFonts w:hint="eastAsia" w:ascii="仿宋_GB2312" w:hAnsi="仿宋_GB2312" w:eastAsia="仿宋_GB2312" w:cs="仿宋_GB2312"/>
                <w:color w:val="auto"/>
                <w:sz w:val="21"/>
                <w:szCs w:val="21"/>
                <w:highlight w:val="none"/>
                <w:lang w:val="en-US" w:eastAsia="zh-CN"/>
              </w:rPr>
            </w:pPr>
          </w:p>
        </w:tc>
        <w:tc>
          <w:tcPr>
            <w:tcW w:w="704" w:type="pct"/>
            <w:gridSpan w:val="2"/>
            <w:tcBorders>
              <w:tl2br w:val="nil"/>
              <w:tr2bl w:val="nil"/>
            </w:tcBorders>
            <w:shd w:val="clear" w:color="auto" w:fill="auto"/>
            <w:vAlign w:val="top"/>
          </w:tcPr>
          <w:p>
            <w:pPr>
              <w:keepNext w:val="0"/>
              <w:keepLines w:val="0"/>
              <w:pageBreakBefore w:val="0"/>
              <w:kinsoku/>
              <w:wordWrap/>
              <w:overflowPunct/>
              <w:topLinePunct w:val="0"/>
              <w:autoSpaceDE/>
              <w:autoSpaceDN/>
              <w:bidi w:val="0"/>
              <w:adjustRightInd/>
              <w:snapToGrid/>
              <w:spacing w:line="312" w:lineRule="auto"/>
              <w:ind w:left="-2" w:leftChars="-1"/>
              <w:jc w:val="both"/>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第三方应急支撑服务</w:t>
            </w:r>
          </w:p>
        </w:tc>
        <w:tc>
          <w:tcPr>
            <w:tcW w:w="2851" w:type="pct"/>
            <w:tcBorders>
              <w:tl2br w:val="nil"/>
              <w:tr2bl w:val="nil"/>
            </w:tcBorders>
            <w:shd w:val="clear" w:color="auto" w:fill="auto"/>
            <w:vAlign w:val="top"/>
          </w:tcPr>
          <w:p>
            <w:pPr>
              <w:keepNext w:val="0"/>
              <w:keepLines w:val="0"/>
              <w:pageBreakBefore w:val="0"/>
              <w:widowControl/>
              <w:numPr>
                <w:ilvl w:val="0"/>
                <w:numId w:val="8"/>
              </w:numPr>
              <w:suppressLineNumbers w:val="0"/>
              <w:kinsoku/>
              <w:wordWrap/>
              <w:overflowPunct/>
              <w:topLinePunct w:val="0"/>
              <w:autoSpaceDE/>
              <w:autoSpaceDN/>
              <w:bidi w:val="0"/>
              <w:adjustRightInd/>
              <w:snapToGrid/>
              <w:spacing w:line="312" w:lineRule="auto"/>
              <w:ind w:left="0" w:leftChars="0" w:firstLine="420" w:firstLineChars="200"/>
              <w:jc w:val="both"/>
              <w:textAlignment w:val="center"/>
              <w:rPr>
                <w:rFonts w:hint="eastAsia" w:ascii="仿宋_GB2312" w:hAnsi="仿宋_GB2312" w:eastAsia="仿宋_GB2312" w:cs="仿宋_GB2312"/>
                <w:b w:val="0"/>
                <w:bCs w:val="0"/>
                <w:i w:val="0"/>
                <w:iCs w:val="0"/>
                <w:color w:val="auto"/>
                <w:kern w:val="0"/>
                <w:sz w:val="21"/>
                <w:szCs w:val="21"/>
                <w:highlight w:val="none"/>
                <w:u w:val="none"/>
                <w:lang w:val="en-US" w:eastAsia="zh-CN" w:bidi="ar"/>
              </w:rPr>
            </w:pPr>
            <w:r>
              <w:rPr>
                <w:rFonts w:hint="eastAsia" w:ascii="仿宋_GB2312" w:hAnsi="仿宋_GB2312" w:eastAsia="仿宋_GB2312" w:cs="仿宋_GB2312"/>
                <w:b w:val="0"/>
                <w:bCs w:val="0"/>
                <w:i w:val="0"/>
                <w:iCs w:val="0"/>
                <w:color w:val="auto"/>
                <w:kern w:val="0"/>
                <w:sz w:val="21"/>
                <w:szCs w:val="21"/>
                <w:highlight w:val="none"/>
                <w:u w:val="none"/>
                <w:lang w:val="en-US" w:eastAsia="zh-CN" w:bidi="ar"/>
              </w:rPr>
              <w:t>若遇省/市主管部门下达网络与信息安全自查整改通报，协助网络安全团队积极完成问题整改，形成问题回执函，并协助后期整改。国家级安全生产大型检查期间，派遣专职安全工程师指导。</w:t>
            </w:r>
          </w:p>
          <w:p>
            <w:pPr>
              <w:keepNext w:val="0"/>
              <w:keepLines w:val="0"/>
              <w:pageBreakBefore w:val="0"/>
              <w:widowControl/>
              <w:numPr>
                <w:ilvl w:val="0"/>
                <w:numId w:val="8"/>
              </w:numPr>
              <w:suppressLineNumbers w:val="0"/>
              <w:kinsoku/>
              <w:wordWrap/>
              <w:overflowPunct/>
              <w:topLinePunct w:val="0"/>
              <w:autoSpaceDE/>
              <w:autoSpaceDN/>
              <w:bidi w:val="0"/>
              <w:adjustRightInd/>
              <w:snapToGrid/>
              <w:spacing w:line="312" w:lineRule="auto"/>
              <w:ind w:left="0" w:leftChars="0" w:firstLine="420" w:firstLineChars="200"/>
              <w:jc w:val="both"/>
              <w:textAlignment w:val="center"/>
              <w:rPr>
                <w:rFonts w:hint="eastAsia" w:ascii="仿宋_GB2312" w:hAnsi="仿宋_GB2312" w:eastAsia="仿宋_GB2312" w:cs="仿宋_GB2312"/>
                <w:b w:val="0"/>
                <w:bCs w:val="0"/>
                <w:i w:val="0"/>
                <w:iCs w:val="0"/>
                <w:color w:val="auto"/>
                <w:kern w:val="0"/>
                <w:sz w:val="21"/>
                <w:szCs w:val="21"/>
                <w:highlight w:val="none"/>
                <w:u w:val="none"/>
                <w:lang w:val="en-US" w:eastAsia="zh-CN" w:bidi="ar"/>
              </w:rPr>
            </w:pPr>
            <w:r>
              <w:rPr>
                <w:rFonts w:hint="eastAsia" w:ascii="仿宋_GB2312" w:hAnsi="仿宋_GB2312" w:eastAsia="仿宋_GB2312" w:cs="仿宋_GB2312"/>
                <w:b w:val="0"/>
                <w:bCs w:val="0"/>
                <w:i w:val="0"/>
                <w:iCs w:val="0"/>
                <w:color w:val="auto"/>
                <w:kern w:val="0"/>
                <w:sz w:val="21"/>
                <w:szCs w:val="21"/>
                <w:highlight w:val="none"/>
                <w:u w:val="none"/>
                <w:lang w:val="en-US" w:eastAsia="zh-CN" w:bidi="ar"/>
              </w:rPr>
              <w:t>在突发/重大信息安全事件后对包括计算机运行在内的业务系统进行维持或恢复，提供7×24小时应急响应支持；接到应急响应需求后，30分钟以内，提供响应支撑，响应方式包括电话、邮件、微信、QQ、现场处置等。</w:t>
            </w:r>
          </w:p>
          <w:p>
            <w:pPr>
              <w:keepNext w:val="0"/>
              <w:keepLines w:val="0"/>
              <w:pageBreakBefore w:val="0"/>
              <w:widowControl/>
              <w:numPr>
                <w:ilvl w:val="0"/>
                <w:numId w:val="8"/>
              </w:numPr>
              <w:suppressLineNumbers w:val="0"/>
              <w:kinsoku/>
              <w:wordWrap/>
              <w:overflowPunct/>
              <w:topLinePunct w:val="0"/>
              <w:autoSpaceDE/>
              <w:autoSpaceDN/>
              <w:bidi w:val="0"/>
              <w:adjustRightInd/>
              <w:snapToGrid/>
              <w:spacing w:line="312" w:lineRule="auto"/>
              <w:ind w:left="0" w:leftChars="0" w:firstLine="420" w:firstLineChars="200"/>
              <w:jc w:val="both"/>
              <w:textAlignment w:val="center"/>
              <w:rPr>
                <w:rFonts w:hint="eastAsia" w:ascii="仿宋_GB2312" w:hAnsi="仿宋_GB2312" w:eastAsia="仿宋_GB2312" w:cs="仿宋_GB2312"/>
                <w:b w:val="0"/>
                <w:bCs w:val="0"/>
                <w:i w:val="0"/>
                <w:iCs w:val="0"/>
                <w:color w:val="auto"/>
                <w:kern w:val="0"/>
                <w:sz w:val="21"/>
                <w:szCs w:val="21"/>
                <w:highlight w:val="none"/>
                <w:u w:val="none"/>
                <w:lang w:val="en-US" w:eastAsia="zh-CN" w:bidi="ar"/>
              </w:rPr>
            </w:pPr>
            <w:r>
              <w:rPr>
                <w:rFonts w:hint="eastAsia" w:ascii="仿宋_GB2312" w:hAnsi="仿宋_GB2312" w:eastAsia="仿宋_GB2312" w:cs="仿宋_GB2312"/>
                <w:b w:val="0"/>
                <w:bCs w:val="0"/>
                <w:i w:val="0"/>
                <w:iCs w:val="0"/>
                <w:color w:val="auto"/>
                <w:kern w:val="0"/>
                <w:sz w:val="21"/>
                <w:szCs w:val="21"/>
                <w:highlight w:val="none"/>
                <w:u w:val="none"/>
                <w:lang w:val="en-US" w:eastAsia="zh-CN" w:bidi="ar"/>
              </w:rPr>
              <w:t>响应结束后提交详细《应急响应报告》，报告内容包含但不限于事件起因、分析过程、处理过程、处理方法、处理结果、整改建议等，并保持一个月的后期跟踪，因此服务商具应备信息安全风险评估服务能力，获得CCRC信息安全风险评估认证证书，服务工程师具备国家注册渗透测试专家认证、国家注册渗透测试工程师认证。</w:t>
            </w:r>
          </w:p>
          <w:p>
            <w:pPr>
              <w:keepNext w:val="0"/>
              <w:keepLines w:val="0"/>
              <w:pageBreakBefore w:val="0"/>
              <w:widowControl/>
              <w:numPr>
                <w:ilvl w:val="0"/>
                <w:numId w:val="8"/>
              </w:numPr>
              <w:suppressLineNumbers w:val="0"/>
              <w:kinsoku/>
              <w:wordWrap/>
              <w:overflowPunct/>
              <w:topLinePunct w:val="0"/>
              <w:autoSpaceDE/>
              <w:autoSpaceDN/>
              <w:bidi w:val="0"/>
              <w:adjustRightInd/>
              <w:snapToGrid/>
              <w:spacing w:line="312" w:lineRule="auto"/>
              <w:ind w:left="0" w:leftChars="0" w:firstLine="420" w:firstLineChars="200"/>
              <w:jc w:val="both"/>
              <w:textAlignment w:val="center"/>
              <w:rPr>
                <w:rFonts w:hint="eastAsia" w:ascii="仿宋_GB2312" w:hAnsi="仿宋_GB2312" w:eastAsia="仿宋_GB2312" w:cs="仿宋_GB2312"/>
                <w:b w:val="0"/>
                <w:bCs w:val="0"/>
                <w:i w:val="0"/>
                <w:iCs w:val="0"/>
                <w:color w:val="auto"/>
                <w:kern w:val="0"/>
                <w:sz w:val="21"/>
                <w:szCs w:val="21"/>
                <w:highlight w:val="none"/>
                <w:u w:val="none"/>
                <w:lang w:val="en-US" w:eastAsia="zh-CN" w:bidi="ar"/>
              </w:rPr>
            </w:pPr>
            <w:r>
              <w:rPr>
                <w:rFonts w:hint="eastAsia" w:ascii="仿宋_GB2312" w:hAnsi="仿宋_GB2312" w:eastAsia="仿宋_GB2312" w:cs="仿宋_GB2312"/>
                <w:b w:val="0"/>
                <w:bCs w:val="0"/>
                <w:i w:val="0"/>
                <w:iCs w:val="0"/>
                <w:color w:val="auto"/>
                <w:kern w:val="0"/>
                <w:sz w:val="21"/>
                <w:szCs w:val="21"/>
                <w:highlight w:val="none"/>
                <w:u w:val="none"/>
                <w:lang w:val="en-US" w:eastAsia="zh-CN" w:bidi="ar"/>
              </w:rPr>
              <w:t>针对主管部门要求学校对网络与信息安全状况开展自查工作时，协助学校完成网络安全自查报告。</w:t>
            </w:r>
          </w:p>
          <w:p>
            <w:pPr>
              <w:keepNext w:val="0"/>
              <w:keepLines w:val="0"/>
              <w:pageBreakBefore w:val="0"/>
              <w:widowControl/>
              <w:numPr>
                <w:ilvl w:val="0"/>
                <w:numId w:val="8"/>
              </w:numPr>
              <w:suppressLineNumbers w:val="0"/>
              <w:kinsoku/>
              <w:wordWrap/>
              <w:overflowPunct/>
              <w:topLinePunct w:val="0"/>
              <w:autoSpaceDE/>
              <w:autoSpaceDN/>
              <w:bidi w:val="0"/>
              <w:adjustRightInd/>
              <w:snapToGrid/>
              <w:spacing w:line="312" w:lineRule="auto"/>
              <w:ind w:left="0" w:leftChars="0" w:firstLine="420" w:firstLineChars="200"/>
              <w:jc w:val="both"/>
              <w:textAlignment w:val="center"/>
              <w:rPr>
                <w:rFonts w:hint="eastAsia" w:ascii="仿宋_GB2312" w:hAnsi="仿宋_GB2312" w:eastAsia="仿宋_GB2312" w:cs="仿宋_GB2312"/>
                <w:b w:val="0"/>
                <w:bCs w:val="0"/>
                <w:i w:val="0"/>
                <w:iCs w:val="0"/>
                <w:color w:val="auto"/>
                <w:kern w:val="0"/>
                <w:sz w:val="21"/>
                <w:szCs w:val="21"/>
                <w:highlight w:val="none"/>
                <w:u w:val="none"/>
                <w:lang w:val="en-US" w:eastAsia="zh-CN" w:bidi="ar"/>
              </w:rPr>
            </w:pPr>
            <w:r>
              <w:rPr>
                <w:rFonts w:hint="eastAsia" w:ascii="仿宋_GB2312" w:hAnsi="仿宋_GB2312" w:eastAsia="仿宋_GB2312" w:cs="仿宋_GB2312"/>
                <w:b w:val="0"/>
                <w:bCs w:val="0"/>
                <w:i w:val="0"/>
                <w:iCs w:val="0"/>
                <w:color w:val="auto"/>
                <w:kern w:val="0"/>
                <w:sz w:val="21"/>
                <w:szCs w:val="21"/>
                <w:highlight w:val="none"/>
                <w:u w:val="none"/>
                <w:lang w:val="en-US" w:eastAsia="zh-CN" w:bidi="ar"/>
              </w:rPr>
              <w:t>重保服务是在重要时期为关键信息系统提供：学校架构设计、积极防御、实时检测、响应处置、攻击预测等安全服务，以提高学校的网络安全保障能力，保障重大活动的顺利进行，成立重保领导小组，重保领导小组由学校分管网络安全领导及服务方重保负责人联合组成，主要负责安全保障工作中关键问题的决策，以及为重保工作的顺利开展协调充足的资源。重保领导小组下设学校重保工作小组和服务方重保工作小组，主要负责重保工作中的具体安保工作的执行以及双方在重保工作中的配合与沟通，因此服务商应具备信息系统建设和服务能力认证以及信息安全风险评估服务能力，获得CCRC信息安全风险评估认证证书，服务工程师具备国家注册渗透测试专家认证、国家注册渗透测试工程师认证。</w:t>
            </w:r>
          </w:p>
          <w:p>
            <w:pPr>
              <w:keepNext w:val="0"/>
              <w:keepLines w:val="0"/>
              <w:pageBreakBefore w:val="0"/>
              <w:widowControl/>
              <w:numPr>
                <w:ilvl w:val="0"/>
                <w:numId w:val="8"/>
              </w:numPr>
              <w:suppressLineNumbers w:val="0"/>
              <w:kinsoku/>
              <w:wordWrap/>
              <w:overflowPunct/>
              <w:topLinePunct w:val="0"/>
              <w:autoSpaceDE/>
              <w:autoSpaceDN/>
              <w:bidi w:val="0"/>
              <w:adjustRightInd/>
              <w:snapToGrid/>
              <w:spacing w:line="312" w:lineRule="auto"/>
              <w:ind w:left="0" w:leftChars="0" w:firstLine="420" w:firstLineChars="200"/>
              <w:jc w:val="both"/>
              <w:textAlignment w:val="center"/>
              <w:rPr>
                <w:rFonts w:hint="default"/>
                <w:lang w:val="en-US" w:eastAsia="zh-CN"/>
              </w:rPr>
            </w:pPr>
            <w:r>
              <w:rPr>
                <w:rFonts w:hint="eastAsia" w:ascii="仿宋_GB2312" w:hAnsi="仿宋_GB2312" w:eastAsia="仿宋_GB2312" w:cs="仿宋_GB2312"/>
                <w:b w:val="0"/>
                <w:bCs w:val="0"/>
                <w:i w:val="0"/>
                <w:iCs w:val="0"/>
                <w:color w:val="auto"/>
                <w:kern w:val="0"/>
                <w:sz w:val="21"/>
                <w:szCs w:val="21"/>
                <w:highlight w:val="none"/>
                <w:u w:val="none"/>
                <w:lang w:val="en-US" w:eastAsia="zh-CN" w:bidi="ar"/>
              </w:rPr>
              <w:t>重要时期以贵州省教育厅文件及学校重保要求为准，累计时间不得少于2个月/年。</w:t>
            </w:r>
          </w:p>
        </w:tc>
        <w:tc>
          <w:tcPr>
            <w:tcW w:w="653" w:type="pct"/>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snapToGrid/>
              <w:spacing w:line="312" w:lineRule="auto"/>
              <w:jc w:val="both"/>
              <w:rPr>
                <w:rFonts w:hint="eastAsia" w:ascii="仿宋_GB2312" w:hAnsi="仿宋_GB2312" w:eastAsia="仿宋_GB2312" w:cs="仿宋_GB2312"/>
                <w:b w:val="0"/>
                <w:bCs w:val="0"/>
                <w:i w:val="0"/>
                <w:iCs w:val="0"/>
                <w:color w:val="auto"/>
                <w:sz w:val="21"/>
                <w:szCs w:val="21"/>
                <w:highlight w:val="none"/>
                <w:u w:val="none"/>
                <w:lang w:val="en-US" w:eastAsia="zh-CN"/>
              </w:rPr>
            </w:pPr>
            <w:r>
              <w:rPr>
                <w:rFonts w:hint="eastAsia" w:ascii="仿宋_GB2312" w:hAnsi="仿宋_GB2312" w:eastAsia="仿宋_GB2312" w:cs="仿宋_GB2312"/>
                <w:color w:val="auto"/>
                <w:kern w:val="2"/>
                <w:sz w:val="21"/>
                <w:szCs w:val="21"/>
                <w:highlight w:val="none"/>
                <w:lang w:val="en-US" w:eastAsia="zh-CN" w:bidi="ar-SA"/>
              </w:rPr>
              <w:t>2年</w:t>
            </w:r>
          </w:p>
        </w:tc>
      </w:tr>
      <w:bookmarkEnd w:id="2"/>
    </w:tbl>
    <w:p>
      <w:pPr>
        <w:pStyle w:val="2"/>
        <w:ind w:left="0" w:leftChars="0" w:firstLine="0" w:firstLineChars="0"/>
        <w:jc w:val="both"/>
        <w:rPr>
          <w:rFonts w:hint="default" w:ascii="仿宋_GB2312" w:hAnsi="仿宋_GB2312" w:eastAsia="仿宋_GB2312" w:cs="仿宋_GB2312"/>
          <w:sz w:val="28"/>
          <w:szCs w:val="28"/>
          <w:lang w:val="en-US" w:eastAsia="zh-CN"/>
        </w:rPr>
      </w:pPr>
    </w:p>
    <w:p>
      <w:pPr>
        <w:widowControl/>
        <w:jc w:val="both"/>
        <w:rPr>
          <w:rFonts w:hint="eastAsia"/>
          <w:sz w:val="48"/>
        </w:rPr>
      </w:pPr>
    </w:p>
    <w:sectPr>
      <w:footerReference r:id="rId5" w:type="default"/>
      <w:pgSz w:w="11906" w:h="16838"/>
      <w:pgMar w:top="1417" w:right="1417" w:bottom="1417" w:left="1417"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仿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t xml:space="preserve">第 </w:t>
                          </w:r>
                          <w:r>
                            <w:fldChar w:fldCharType="begin"/>
                          </w:r>
                          <w:r>
                            <w:instrText xml:space="preserve"> PAGE  \* MERGEFORMAT </w:instrText>
                          </w:r>
                          <w:r>
                            <w:fldChar w:fldCharType="separate"/>
                          </w:r>
                          <w:r>
                            <w:t>- 1 -</w:t>
                          </w:r>
                          <w:r>
                            <w:fldChar w:fldCharType="end"/>
                          </w:r>
                          <w:r>
                            <w:t xml:space="preserve"> 页 共 </w:t>
                          </w:r>
                          <w:r>
                            <w:fldChar w:fldCharType="begin"/>
                          </w:r>
                          <w:r>
                            <w:instrText xml:space="preserve"> NUMPAGES  \* MERGEFORMAT </w:instrText>
                          </w:r>
                          <w:r>
                            <w:fldChar w:fldCharType="separate"/>
                          </w:r>
                          <w:r>
                            <w:t>10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- 1 -</w:t>
                    </w:r>
                    <w:r>
                      <w:fldChar w:fldCharType="end"/>
                    </w:r>
                    <w:r>
                      <w:t xml:space="preserve"> 页 共 </w:t>
                    </w:r>
                    <w:r>
                      <w:fldChar w:fldCharType="begin"/>
                    </w:r>
                    <w:r>
                      <w:instrText xml:space="preserve"> NUMPAGES  \* MERGEFORMAT </w:instrText>
                    </w:r>
                    <w:r>
                      <w:fldChar w:fldCharType="separate"/>
                    </w:r>
                    <w:r>
                      <w:t>10</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10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10</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361F36"/>
    <w:multiLevelType w:val="singleLevel"/>
    <w:tmpl w:val="8D361F36"/>
    <w:lvl w:ilvl="0" w:tentative="0">
      <w:start w:val="1"/>
      <w:numFmt w:val="decimal"/>
      <w:suff w:val="nothing"/>
      <w:lvlText w:val="%1、"/>
      <w:lvlJc w:val="left"/>
    </w:lvl>
  </w:abstractNum>
  <w:abstractNum w:abstractNumId="1">
    <w:nsid w:val="D4C2224D"/>
    <w:multiLevelType w:val="multilevel"/>
    <w:tmpl w:val="D4C2224D"/>
    <w:lvl w:ilvl="0" w:tentative="0">
      <w:start w:val="1"/>
      <w:numFmt w:val="chineseCounting"/>
      <w:suff w:val="nothing"/>
      <w:lvlText w:val="第%1章 "/>
      <w:lvlJc w:val="left"/>
      <w:pPr>
        <w:ind w:left="432" w:hanging="432"/>
      </w:pPr>
      <w:rPr>
        <w:rFonts w:hint="eastAsia"/>
      </w:rPr>
    </w:lvl>
    <w:lvl w:ilvl="1" w:tentative="0">
      <w:start w:val="1"/>
      <w:numFmt w:val="decimal"/>
      <w:pStyle w:val="3"/>
      <w:isLgl/>
      <w:lvlText w:val="%1.%2."/>
      <w:lvlJc w:val="left"/>
      <w:pPr>
        <w:ind w:left="575" w:hanging="575"/>
      </w:pPr>
      <w:rPr>
        <w:rFonts w:hint="eastAsia"/>
      </w:rPr>
    </w:lvl>
    <w:lvl w:ilvl="2" w:tentative="0">
      <w:start w:val="1"/>
      <w:numFmt w:val="decimal"/>
      <w:pStyle w:val="4"/>
      <w:isLgl/>
      <w:lvlText w:val="%1.%2.%3."/>
      <w:lvlJc w:val="left"/>
      <w:pPr>
        <w:ind w:left="720" w:hanging="720"/>
      </w:pPr>
      <w:rPr>
        <w:rFonts w:hint="eastAsia"/>
      </w:rPr>
    </w:lvl>
    <w:lvl w:ilvl="3" w:tentative="0">
      <w:start w:val="1"/>
      <w:numFmt w:val="decimal"/>
      <w:pStyle w:val="5"/>
      <w:isLgl/>
      <w:lvlText w:val="%1.%2.%3.%4."/>
      <w:lvlJc w:val="left"/>
      <w:pPr>
        <w:ind w:left="864" w:hanging="864"/>
      </w:pPr>
      <w:rPr>
        <w:rFonts w:hint="eastAsia"/>
      </w:rPr>
    </w:lvl>
    <w:lvl w:ilvl="4" w:tentative="0">
      <w:start w:val="1"/>
      <w:numFmt w:val="decimal"/>
      <w:isLgl/>
      <w:lvlText w:val="%1.%2.%3.%4.%5."/>
      <w:lvlJc w:val="left"/>
      <w:pPr>
        <w:ind w:left="1008" w:hanging="1008"/>
      </w:pPr>
      <w:rPr>
        <w:rFonts w:hint="eastAsia"/>
      </w:rPr>
    </w:lvl>
    <w:lvl w:ilvl="5" w:tentative="0">
      <w:start w:val="1"/>
      <w:numFmt w:val="decimal"/>
      <w:isLgl/>
      <w:lvlText w:val="%1.%2.%3.%4.%5.%6."/>
      <w:lvlJc w:val="left"/>
      <w:pPr>
        <w:ind w:left="1151" w:hanging="1151"/>
      </w:pPr>
      <w:rPr>
        <w:rFonts w:hint="eastAsia"/>
      </w:rPr>
    </w:lvl>
    <w:lvl w:ilvl="6" w:tentative="0">
      <w:start w:val="1"/>
      <w:numFmt w:val="decimal"/>
      <w:isLgl/>
      <w:lvlText w:val="%1.%2.%3.%4.%5.%6.%7."/>
      <w:lvlJc w:val="left"/>
      <w:pPr>
        <w:ind w:left="1296" w:hanging="1296"/>
      </w:pPr>
      <w:rPr>
        <w:rFonts w:hint="eastAsia"/>
      </w:rPr>
    </w:lvl>
    <w:lvl w:ilvl="7" w:tentative="0">
      <w:start w:val="1"/>
      <w:numFmt w:val="decimal"/>
      <w:isLgl/>
      <w:lvlText w:val="%1.%2.%3.%4.%5.%6.%7.%8."/>
      <w:lvlJc w:val="left"/>
      <w:pPr>
        <w:ind w:left="1440" w:hanging="1440"/>
      </w:pPr>
      <w:rPr>
        <w:rFonts w:hint="eastAsia"/>
      </w:rPr>
    </w:lvl>
    <w:lvl w:ilvl="8" w:tentative="0">
      <w:start w:val="1"/>
      <w:numFmt w:val="decimal"/>
      <w:isLgl/>
      <w:lvlText w:val="%1.%2.%3.%4.%5.%6.%7.%8.%9."/>
      <w:lvlJc w:val="left"/>
      <w:pPr>
        <w:ind w:left="1583" w:hanging="1583"/>
      </w:pPr>
      <w:rPr>
        <w:rFonts w:hint="eastAsia"/>
      </w:rPr>
    </w:lvl>
  </w:abstractNum>
  <w:abstractNum w:abstractNumId="2">
    <w:nsid w:val="FD8DBF99"/>
    <w:multiLevelType w:val="singleLevel"/>
    <w:tmpl w:val="FD8DBF99"/>
    <w:lvl w:ilvl="0" w:tentative="0">
      <w:start w:val="1"/>
      <w:numFmt w:val="decimal"/>
      <w:suff w:val="nothing"/>
      <w:lvlText w:val="%1．"/>
      <w:lvlJc w:val="left"/>
      <w:pPr>
        <w:ind w:left="-420" w:firstLine="400"/>
      </w:pPr>
      <w:rPr>
        <w:rFonts w:hint="default"/>
      </w:rPr>
    </w:lvl>
  </w:abstractNum>
  <w:abstractNum w:abstractNumId="3">
    <w:nsid w:val="274B589D"/>
    <w:multiLevelType w:val="singleLevel"/>
    <w:tmpl w:val="274B589D"/>
    <w:lvl w:ilvl="0" w:tentative="0">
      <w:start w:val="1"/>
      <w:numFmt w:val="decimal"/>
      <w:suff w:val="nothing"/>
      <w:lvlText w:val="%1、"/>
      <w:lvlJc w:val="left"/>
    </w:lvl>
  </w:abstractNum>
  <w:abstractNum w:abstractNumId="4">
    <w:nsid w:val="475CF9B9"/>
    <w:multiLevelType w:val="singleLevel"/>
    <w:tmpl w:val="475CF9B9"/>
    <w:lvl w:ilvl="0" w:tentative="0">
      <w:start w:val="1"/>
      <w:numFmt w:val="decimal"/>
      <w:suff w:val="nothing"/>
      <w:lvlText w:val="%1、"/>
      <w:lvlJc w:val="left"/>
    </w:lvl>
  </w:abstractNum>
  <w:abstractNum w:abstractNumId="5">
    <w:nsid w:val="4AAD6CA9"/>
    <w:multiLevelType w:val="singleLevel"/>
    <w:tmpl w:val="4AAD6CA9"/>
    <w:lvl w:ilvl="0" w:tentative="0">
      <w:start w:val="1"/>
      <w:numFmt w:val="decimal"/>
      <w:suff w:val="nothing"/>
      <w:lvlText w:val="%1．"/>
      <w:lvlJc w:val="left"/>
      <w:pPr>
        <w:ind w:left="0" w:firstLine="400"/>
      </w:pPr>
      <w:rPr>
        <w:rFonts w:hint="default"/>
      </w:rPr>
    </w:lvl>
  </w:abstractNum>
  <w:abstractNum w:abstractNumId="6">
    <w:nsid w:val="54456164"/>
    <w:multiLevelType w:val="singleLevel"/>
    <w:tmpl w:val="54456164"/>
    <w:lvl w:ilvl="0" w:tentative="0">
      <w:start w:val="1"/>
      <w:numFmt w:val="decimal"/>
      <w:lvlText w:val="%1."/>
      <w:lvlJc w:val="left"/>
      <w:pPr>
        <w:ind w:left="425" w:hanging="425"/>
      </w:pPr>
      <w:rPr>
        <w:rFonts w:hint="default"/>
      </w:rPr>
    </w:lvl>
  </w:abstractNum>
  <w:abstractNum w:abstractNumId="7">
    <w:nsid w:val="595A27FB"/>
    <w:multiLevelType w:val="singleLevel"/>
    <w:tmpl w:val="595A27FB"/>
    <w:lvl w:ilvl="0" w:tentative="0">
      <w:start w:val="1"/>
      <w:numFmt w:val="chineseCounting"/>
      <w:suff w:val="nothing"/>
      <w:lvlText w:val="%1、"/>
      <w:lvlJc w:val="left"/>
      <w:rPr>
        <w:rFonts w:hint="eastAsia"/>
      </w:rPr>
    </w:lvl>
  </w:abstractNum>
  <w:num w:numId="1">
    <w:abstractNumId w:val="1"/>
  </w:num>
  <w:num w:numId="2">
    <w:abstractNumId w:val="2"/>
  </w:num>
  <w:num w:numId="3">
    <w:abstractNumId w:val="3"/>
  </w:num>
  <w:num w:numId="4">
    <w:abstractNumId w:val="6"/>
  </w:num>
  <w:num w:numId="5">
    <w:abstractNumId w:val="0"/>
  </w:num>
  <w:num w:numId="6">
    <w:abstractNumId w:val="4"/>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E5MTliMWFmYTZjOTMyZjY5NTI5MDE3MzQxMzJiM2IifQ=="/>
  </w:docVars>
  <w:rsids>
    <w:rsidRoot w:val="0015788A"/>
    <w:rsid w:val="0015788A"/>
    <w:rsid w:val="00207FE4"/>
    <w:rsid w:val="002968CA"/>
    <w:rsid w:val="00335955"/>
    <w:rsid w:val="00337EAF"/>
    <w:rsid w:val="003F09BB"/>
    <w:rsid w:val="004417DF"/>
    <w:rsid w:val="004A33F5"/>
    <w:rsid w:val="005D42C6"/>
    <w:rsid w:val="005F3528"/>
    <w:rsid w:val="007660A7"/>
    <w:rsid w:val="007A100C"/>
    <w:rsid w:val="009540CE"/>
    <w:rsid w:val="00B756C0"/>
    <w:rsid w:val="00CC047B"/>
    <w:rsid w:val="00D07706"/>
    <w:rsid w:val="00D4653F"/>
    <w:rsid w:val="00E237B8"/>
    <w:rsid w:val="00E97F4B"/>
    <w:rsid w:val="00ED1736"/>
    <w:rsid w:val="00EE3595"/>
    <w:rsid w:val="0AA95618"/>
    <w:rsid w:val="14AB51CD"/>
    <w:rsid w:val="27A13662"/>
    <w:rsid w:val="3F4F2600"/>
    <w:rsid w:val="41576339"/>
    <w:rsid w:val="420309A1"/>
    <w:rsid w:val="462815D1"/>
    <w:rsid w:val="48184419"/>
    <w:rsid w:val="4B87792F"/>
    <w:rsid w:val="55751A02"/>
    <w:rsid w:val="6B1640EA"/>
    <w:rsid w:val="75F35C20"/>
    <w:rsid w:val="770D46B1"/>
    <w:rsid w:val="77605815"/>
    <w:rsid w:val="973B818F"/>
    <w:rsid w:val="BFF7D07D"/>
    <w:rsid w:val="C9DEC3A7"/>
    <w:rsid w:val="F1CB7C9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4"/>
    <w:unhideWhenUsed/>
    <w:qFormat/>
    <w:uiPriority w:val="0"/>
    <w:pPr>
      <w:keepNext/>
      <w:keepLines/>
      <w:numPr>
        <w:ilvl w:val="1"/>
        <w:numId w:val="1"/>
      </w:numPr>
      <w:spacing w:before="260" w:beforeLines="0" w:beforeAutospacing="0" w:after="260" w:afterLines="0" w:afterAutospacing="0" w:line="413" w:lineRule="auto"/>
      <w:ind w:left="575" w:hanging="575"/>
      <w:outlineLvl w:val="1"/>
    </w:pPr>
    <w:rPr>
      <w:rFonts w:ascii="Arial" w:hAnsi="Arial" w:eastAsia="黑体"/>
      <w:b/>
      <w:sz w:val="32"/>
      <w:szCs w:val="24"/>
    </w:rPr>
  </w:style>
  <w:style w:type="paragraph" w:styleId="4">
    <w:name w:val="heading 3"/>
    <w:basedOn w:val="1"/>
    <w:next w:val="1"/>
    <w:unhideWhenUsed/>
    <w:qFormat/>
    <w:uiPriority w:val="0"/>
    <w:pPr>
      <w:keepNext/>
      <w:keepLines/>
      <w:numPr>
        <w:ilvl w:val="2"/>
        <w:numId w:val="1"/>
      </w:numPr>
      <w:spacing w:before="260" w:beforeLines="0" w:beforeAutospacing="0" w:after="260" w:afterLines="0" w:afterAutospacing="0" w:line="413" w:lineRule="auto"/>
      <w:ind w:left="720" w:hanging="720"/>
      <w:outlineLvl w:val="2"/>
    </w:pPr>
    <w:rPr>
      <w:b/>
      <w:sz w:val="32"/>
      <w:szCs w:val="24"/>
    </w:rPr>
  </w:style>
  <w:style w:type="paragraph" w:styleId="5">
    <w:name w:val="heading 4"/>
    <w:basedOn w:val="1"/>
    <w:next w:val="1"/>
    <w:unhideWhenUsed/>
    <w:qFormat/>
    <w:uiPriority w:val="0"/>
    <w:pPr>
      <w:keepNext/>
      <w:keepLines/>
      <w:numPr>
        <w:ilvl w:val="3"/>
        <w:numId w:val="1"/>
      </w:numPr>
      <w:spacing w:before="280" w:beforeLines="0" w:beforeAutospacing="0" w:after="290" w:afterLines="0" w:afterAutospacing="0" w:line="372" w:lineRule="auto"/>
      <w:ind w:left="864" w:hanging="864"/>
      <w:outlineLvl w:val="3"/>
    </w:pPr>
    <w:rPr>
      <w:rFonts w:ascii="Arial" w:hAnsi="Arial" w:eastAsia="黑体"/>
      <w:b/>
      <w:sz w:val="28"/>
      <w:szCs w:val="24"/>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customStyle="1" w:styleId="2">
    <w:name w:val="首行缩进"/>
    <w:basedOn w:val="1"/>
    <w:qFormat/>
    <w:uiPriority w:val="0"/>
    <w:pPr>
      <w:spacing w:line="360" w:lineRule="auto"/>
      <w:ind w:firstLine="480" w:firstLineChars="200"/>
    </w:pPr>
    <w:rPr>
      <w:rFonts w:ascii="Times New Roman" w:hAnsi="Times New Roman"/>
      <w:sz w:val="24"/>
      <w:szCs w:val="20"/>
    </w:rPr>
  </w:style>
  <w:style w:type="paragraph" w:styleId="6">
    <w:name w:val="Body Text"/>
    <w:basedOn w:val="1"/>
    <w:next w:val="7"/>
    <w:qFormat/>
    <w:uiPriority w:val="0"/>
    <w:pPr>
      <w:spacing w:after="120" w:afterLines="0" w:afterAutospacing="0"/>
    </w:pPr>
    <w:rPr>
      <w:szCs w:val="24"/>
    </w:rPr>
  </w:style>
  <w:style w:type="paragraph" w:styleId="7">
    <w:name w:val="Body Text 2"/>
    <w:basedOn w:val="1"/>
    <w:semiHidden/>
    <w:unhideWhenUsed/>
    <w:qFormat/>
    <w:uiPriority w:val="0"/>
    <w:pPr>
      <w:spacing w:after="120" w:line="480" w:lineRule="auto"/>
    </w:pPr>
    <w:rPr>
      <w:szCs w:val="24"/>
    </w:rPr>
  </w:style>
  <w:style w:type="paragraph" w:styleId="8">
    <w:name w:val="Date"/>
    <w:basedOn w:val="1"/>
    <w:next w:val="1"/>
    <w:link w:val="15"/>
    <w:uiPriority w:val="0"/>
    <w:pPr>
      <w:ind w:left="100" w:leftChars="2500"/>
    </w:pPr>
  </w:style>
  <w:style w:type="paragraph" w:styleId="9">
    <w:name w:val="Balloon Text"/>
    <w:basedOn w:val="1"/>
    <w:link w:val="18"/>
    <w:qFormat/>
    <w:uiPriority w:val="0"/>
    <w:rPr>
      <w:sz w:val="18"/>
      <w:szCs w:val="18"/>
    </w:rPr>
  </w:style>
  <w:style w:type="paragraph" w:styleId="10">
    <w:name w:val="footer"/>
    <w:basedOn w:val="1"/>
    <w:link w:val="17"/>
    <w:qFormat/>
    <w:uiPriority w:val="0"/>
    <w:pPr>
      <w:tabs>
        <w:tab w:val="center" w:pos="4153"/>
        <w:tab w:val="right" w:pos="8306"/>
      </w:tabs>
      <w:snapToGrid w:val="0"/>
      <w:jc w:val="left"/>
    </w:pPr>
    <w:rPr>
      <w:sz w:val="18"/>
      <w:szCs w:val="18"/>
    </w:rPr>
  </w:style>
  <w:style w:type="paragraph" w:styleId="11">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table" w:styleId="13">
    <w:name w:val="Table Grid"/>
    <w:basedOn w:val="12"/>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5">
    <w:name w:val="日期 Char"/>
    <w:basedOn w:val="14"/>
    <w:link w:val="8"/>
    <w:semiHidden/>
    <w:qFormat/>
    <w:uiPriority w:val="99"/>
  </w:style>
  <w:style w:type="character" w:customStyle="1" w:styleId="16">
    <w:name w:val="页眉 Char"/>
    <w:basedOn w:val="14"/>
    <w:link w:val="11"/>
    <w:qFormat/>
    <w:uiPriority w:val="99"/>
    <w:rPr>
      <w:kern w:val="2"/>
      <w:sz w:val="18"/>
      <w:szCs w:val="18"/>
    </w:rPr>
  </w:style>
  <w:style w:type="character" w:customStyle="1" w:styleId="17">
    <w:name w:val="页脚 Char"/>
    <w:basedOn w:val="14"/>
    <w:link w:val="10"/>
    <w:qFormat/>
    <w:uiPriority w:val="99"/>
    <w:rPr>
      <w:kern w:val="2"/>
      <w:sz w:val="18"/>
      <w:szCs w:val="18"/>
    </w:rPr>
  </w:style>
  <w:style w:type="character" w:customStyle="1" w:styleId="18">
    <w:name w:val="批注框文本 Char"/>
    <w:basedOn w:val="14"/>
    <w:link w:val="9"/>
    <w:semiHidden/>
    <w:qFormat/>
    <w:uiPriority w:val="99"/>
    <w:rPr>
      <w:kern w:val="2"/>
      <w:sz w:val="18"/>
      <w:szCs w:val="18"/>
    </w:rPr>
  </w:style>
  <w:style w:type="paragraph" w:styleId="19">
    <w:name w:val="List Paragraph"/>
    <w:basedOn w:val="1"/>
    <w:qFormat/>
    <w:uiPriority w:val="34"/>
    <w:pPr>
      <w:ind w:firstLine="420" w:firstLineChars="200"/>
    </w:pPr>
    <w:rPr>
      <w:rFonts w:ascii="Calibri" w:hAnsi="Calibri" w:eastAsia="宋体" w:cs="Times New Roman"/>
    </w:rPr>
  </w:style>
  <w:style w:type="paragraph" w:customStyle="1" w:styleId="20">
    <w:name w:val="正文-奇安信"/>
    <w:basedOn w:val="1"/>
    <w:qFormat/>
    <w:uiPriority w:val="0"/>
    <w:pPr>
      <w:spacing w:line="360" w:lineRule="auto"/>
      <w:ind w:firstLine="420"/>
    </w:pPr>
    <w:rPr>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6107</Words>
  <Characters>6359</Characters>
  <Lines>0</Lines>
  <Paragraphs>0</Paragraphs>
  <TotalTime>206</TotalTime>
  <ScaleCrop>false</ScaleCrop>
  <LinksUpToDate>false</LinksUpToDate>
  <CharactersWithSpaces>6369</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2022-12-20T08:29:00Z</dcterms:created>
  <dc:creator>Administrator</dc:creator>
  <cp:lastModifiedBy>Administrator</cp:lastModifiedBy>
  <cp:lastPrinted>2022-12-28T08:24:00Z</cp:lastPrinted>
  <dcterms:modified xsi:type="dcterms:W3CDTF">2023-02-24T03:24:38Z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62B95D5BD06C4D5E8FDB40483E9828D6</vt:lpwstr>
  </property>
</Properties>
</file>